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7AD5" w:rsidR="004F1ADE" w:rsidP="00A02098" w:rsidRDefault="00782556" w14:paraId="34F3078C" w14:textId="5AE343BB">
      <w:pPr>
        <w:jc w:val="both"/>
      </w:pPr>
      <w:r w:rsidRPr="00DB78C5">
        <w:rPr>
          <w:highlight w:val="lightGray"/>
        </w:rPr>
        <w:t>DATE</w:t>
      </w:r>
    </w:p>
    <w:p w:rsidRPr="000F7AD5" w:rsidR="001A1A2B" w:rsidP="00A02098" w:rsidRDefault="001A1A2B" w14:paraId="2AD5C943" w14:textId="77777777">
      <w:pPr>
        <w:jc w:val="both"/>
      </w:pPr>
    </w:p>
    <w:p w:rsidRPr="000F7AD5" w:rsidR="00357219" w:rsidP="00A02098" w:rsidRDefault="00357219" w14:paraId="14C8133B" w14:textId="77777777">
      <w:pPr>
        <w:jc w:val="both"/>
      </w:pPr>
    </w:p>
    <w:tbl>
      <w:tblPr>
        <w:tblStyle w:val="TableGrid"/>
        <w:tblW w:w="9630" w:type="dxa"/>
        <w:tblBorders>
          <w:top w:val="none" w:color="auto" w:sz="0" w:space="0"/>
          <w:left w:val="none" w:color="auto" w:sz="0" w:space="0"/>
          <w:bottom w:val="none" w:color="auto" w:sz="0" w:space="0"/>
          <w:right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3420"/>
        <w:gridCol w:w="1325"/>
        <w:gridCol w:w="4885"/>
      </w:tblGrid>
      <w:tr w:rsidRPr="000F7AD5" w:rsidR="00286371" w:rsidTr="00C562AC" w14:paraId="779F547F" w14:textId="77777777">
        <w:tc>
          <w:tcPr>
            <w:tcW w:w="3420" w:type="dxa"/>
          </w:tcPr>
          <w:p w:rsidRPr="000F7AD5" w:rsidR="00782556" w:rsidP="00782556" w:rsidRDefault="00782556" w14:paraId="3B5BEFDD" w14:textId="77777777">
            <w:r w:rsidRPr="000F7AD5">
              <w:t>Mr. Jeffrey Allen</w:t>
            </w:r>
          </w:p>
          <w:p w:rsidRPr="000F7AD5" w:rsidR="00782556" w:rsidP="00782556" w:rsidRDefault="00782556" w14:paraId="510DB95E" w14:textId="77777777">
            <w:bookmarkStart w:name="_Hlk153373095" w:id="0"/>
            <w:r w:rsidRPr="000F7AD5">
              <w:t>The Gillette Company, LLC</w:t>
            </w:r>
          </w:p>
          <w:bookmarkEnd w:id="0"/>
          <w:p w:rsidRPr="000F7AD5" w:rsidR="00782556" w:rsidP="00782556" w:rsidRDefault="00782556" w14:paraId="168D1AF3" w14:textId="77777777">
            <w:r w:rsidRPr="000F7AD5">
              <w:t>30 Burtt Road</w:t>
            </w:r>
          </w:p>
          <w:p w:rsidRPr="000F7AD5" w:rsidR="00286371" w:rsidP="00782556" w:rsidRDefault="00782556" w14:paraId="779F5475" w14:textId="3E4FA0E9">
            <w:r w:rsidRPr="000F7AD5">
              <w:t>Andover, MA 01810</w:t>
            </w:r>
          </w:p>
        </w:tc>
        <w:tc>
          <w:tcPr>
            <w:tcW w:w="1325" w:type="dxa"/>
          </w:tcPr>
          <w:p w:rsidRPr="000F7AD5" w:rsidR="00286371" w:rsidP="00A37B95" w:rsidRDefault="00286371" w14:paraId="779F5476" w14:textId="1C2DFD58">
            <w:pPr>
              <w:ind w:left="455" w:right="-180"/>
              <w:jc w:val="both"/>
              <w:rPr>
                <w:i/>
              </w:rPr>
            </w:pPr>
            <w:r w:rsidRPr="000F7AD5">
              <w:rPr>
                <w:b/>
              </w:rPr>
              <w:t>RE:</w:t>
            </w:r>
          </w:p>
        </w:tc>
        <w:tc>
          <w:tcPr>
            <w:tcW w:w="4885" w:type="dxa"/>
          </w:tcPr>
          <w:p w:rsidRPr="000F7AD5" w:rsidR="00EC7915" w:rsidP="00635B0B" w:rsidRDefault="00EC7915" w14:paraId="64934A90" w14:textId="77777777">
            <w:pPr>
              <w:tabs>
                <w:tab w:val="left" w:pos="600"/>
              </w:tabs>
              <w:ind w:left="251"/>
              <w:rPr>
                <w:b/>
                <w:sz w:val="28"/>
                <w:szCs w:val="28"/>
              </w:rPr>
            </w:pPr>
            <w:r w:rsidRPr="000F7AD5">
              <w:rPr>
                <w:b/>
                <w:sz w:val="28"/>
                <w:szCs w:val="28"/>
              </w:rPr>
              <w:t>ANDOVER</w:t>
            </w:r>
          </w:p>
          <w:p w:rsidRPr="000F7AD5" w:rsidR="00DE1E78" w:rsidP="00635B0B" w:rsidRDefault="00767467" w14:paraId="779F5478" w14:textId="2FD04928">
            <w:pPr>
              <w:tabs>
                <w:tab w:val="left" w:pos="600"/>
              </w:tabs>
              <w:ind w:left="251"/>
              <w:rPr>
                <w:b/>
                <w:bCs/>
                <w:highlight w:val="yellow"/>
              </w:rPr>
            </w:pPr>
            <w:r w:rsidRPr="000F7AD5">
              <w:t xml:space="preserve">ePlace </w:t>
            </w:r>
            <w:r w:rsidRPr="000F7AD5" w:rsidR="00C470BE">
              <w:t xml:space="preserve">Authorization </w:t>
            </w:r>
            <w:r w:rsidRPr="000F7AD5" w:rsidR="001F6838">
              <w:t>No.</w:t>
            </w:r>
            <w:r w:rsidRPr="000F7AD5" w:rsidR="00DE1E78">
              <w:t xml:space="preserve">: </w:t>
            </w:r>
            <w:r w:rsidRPr="00DB78C5" w:rsidR="00635B0B">
              <w:rPr>
                <w:highlight w:val="lightGray"/>
              </w:rPr>
              <w:t>AQ02P-</w:t>
            </w:r>
            <w:r w:rsidRPr="00DB78C5" w:rsidR="009F0427">
              <w:rPr>
                <w:highlight w:val="lightGray"/>
              </w:rPr>
              <w:t>XXXXXX</w:t>
            </w:r>
          </w:p>
          <w:p w:rsidRPr="000F7AD5" w:rsidR="00767467" w:rsidP="00C562AC" w:rsidRDefault="00767467" w14:paraId="779F5479" w14:textId="4CCBA6F5">
            <w:pPr>
              <w:tabs>
                <w:tab w:val="left" w:pos="600"/>
              </w:tabs>
              <w:ind w:left="251"/>
            </w:pPr>
            <w:r w:rsidRPr="000F7AD5">
              <w:t xml:space="preserve">Application </w:t>
            </w:r>
            <w:r w:rsidRPr="000F7AD5" w:rsidR="001F6838">
              <w:t>No.</w:t>
            </w:r>
            <w:r w:rsidRPr="000F7AD5">
              <w:t>:</w:t>
            </w:r>
            <w:r w:rsidRPr="000F7AD5" w:rsidR="004021EE">
              <w:t xml:space="preserve"> </w:t>
            </w:r>
            <w:bookmarkStart w:name="_Hlk153372943" w:id="1"/>
            <w:r w:rsidRPr="000F7AD5" w:rsidR="005C10FD">
              <w:t>2</w:t>
            </w:r>
            <w:r w:rsidRPr="000F7AD5" w:rsidR="00EF1FE9">
              <w:t>3</w:t>
            </w:r>
            <w:r w:rsidRPr="000F7AD5" w:rsidR="005C10FD">
              <w:t>-AQ02P-0014-APP</w:t>
            </w:r>
            <w:bookmarkEnd w:id="1"/>
          </w:p>
          <w:p w:rsidRPr="000F7AD5" w:rsidR="00DE1E78" w:rsidP="00C562AC" w:rsidRDefault="00767467" w14:paraId="779F547A" w14:textId="64EC5C4E">
            <w:pPr>
              <w:tabs>
                <w:tab w:val="left" w:pos="600"/>
              </w:tabs>
              <w:ind w:left="251"/>
              <w:rPr>
                <w:b/>
              </w:rPr>
            </w:pPr>
            <w:r w:rsidRPr="000F7AD5">
              <w:t xml:space="preserve">Approval </w:t>
            </w:r>
            <w:r w:rsidRPr="000F7AD5" w:rsidR="001F6838">
              <w:t>No</w:t>
            </w:r>
            <w:r w:rsidRPr="000F7AD5" w:rsidR="00DE1E78">
              <w:t xml:space="preserve">.: </w:t>
            </w:r>
            <w:r w:rsidRPr="000F7AD5" w:rsidR="00E731A1">
              <w:t>NE-2</w:t>
            </w:r>
            <w:r w:rsidRPr="000F7AD5" w:rsidR="00EF1FE9">
              <w:t>3</w:t>
            </w:r>
            <w:r w:rsidRPr="000F7AD5" w:rsidR="00E731A1">
              <w:t>-0</w:t>
            </w:r>
            <w:r w:rsidRPr="000F7AD5" w:rsidR="005C10FD">
              <w:t>1</w:t>
            </w:r>
            <w:r w:rsidRPr="000F7AD5" w:rsidR="00EF1FE9">
              <w:t>6</w:t>
            </w:r>
          </w:p>
          <w:p w:rsidRPr="000F7AD5" w:rsidR="00DE1E78" w:rsidP="00C562AC" w:rsidRDefault="00DE1E78" w14:paraId="779F547B" w14:textId="4ADEF31C">
            <w:pPr>
              <w:pStyle w:val="ListParagraph"/>
              <w:ind w:left="251"/>
              <w:rPr>
                <w:rStyle w:val="Style1"/>
              </w:rPr>
            </w:pPr>
            <w:r w:rsidRPr="000F7AD5">
              <w:rPr>
                <w:rFonts w:eastAsia="Times New Roman" w:cs="Times New Roman"/>
                <w:szCs w:val="24"/>
              </w:rPr>
              <w:t>Class</w:t>
            </w:r>
            <w:r w:rsidRPr="000F7AD5">
              <w:t xml:space="preserve">: </w:t>
            </w:r>
            <w:sdt>
              <w:sdtPr>
                <w:rPr>
                  <w:rStyle w:val="Style9"/>
                </w:rPr>
                <w:alias w:val="Fee Category"/>
                <w:tag w:val="Fee Category"/>
                <w:id w:val="28654979"/>
                <w:placeholder>
                  <w:docPart w:val="AC0427E119B44447805FA029D6016205"/>
                </w:placeholder>
                <w:dropDownList>
                  <w:listItem w:value="Choose an item."/>
                  <w:listItem w:displayText="OP" w:value="OP"/>
                  <w:listItem w:displayText="NM99" w:value="NM99"/>
                  <w:listItem w:displayText="NM50" w:value="NM50"/>
                  <w:listItem w:displayText="NM25" w:value="NM25"/>
                  <w:listItem w:displayText="NMnoSR" w:value="NMnoSR"/>
                  <w:listItem w:displayText="SM80-7" w:value="SM80-7"/>
                  <w:listItem w:displayText="SM79-7" w:value="SM79-7"/>
                  <w:listItem w:displayText="SM80-R" w:value="SM80-R"/>
                  <w:listItem w:displayText="SM79-R" w:value="SM79-R"/>
                  <w:listItem w:displayText="SM-50" w:value="SM-50"/>
                  <w:listItem w:displayText="SM-25" w:value="SM-25"/>
                </w:dropDownList>
              </w:sdtPr>
              <w:sdtEndPr>
                <w:rPr>
                  <w:rStyle w:val="DefaultParagraphFont"/>
                </w:rPr>
              </w:sdtEndPr>
              <w:sdtContent>
                <w:r w:rsidRPr="000F7AD5" w:rsidR="004F5182">
                  <w:rPr>
                    <w:rStyle w:val="Style9"/>
                  </w:rPr>
                  <w:t>SM79-7</w:t>
                </w:r>
              </w:sdtContent>
            </w:sdt>
          </w:p>
          <w:p w:rsidRPr="000F7AD5" w:rsidR="00DE1E78" w:rsidP="00C562AC" w:rsidRDefault="00DE1E78" w14:paraId="779F547C" w14:textId="5EF19AC3">
            <w:pPr>
              <w:tabs>
                <w:tab w:val="left" w:pos="600"/>
              </w:tabs>
              <w:ind w:left="251"/>
            </w:pPr>
            <w:r w:rsidRPr="000F7AD5">
              <w:t xml:space="preserve">FMF No.: </w:t>
            </w:r>
            <w:r w:rsidRPr="000F7AD5" w:rsidR="00B87B42">
              <w:t>130128</w:t>
            </w:r>
          </w:p>
          <w:p w:rsidRPr="000F7AD5" w:rsidR="00286371" w:rsidP="00C562AC" w:rsidRDefault="00B87B42" w14:paraId="779F547E" w14:textId="30A4D7BB">
            <w:pPr>
              <w:tabs>
                <w:tab w:val="left" w:pos="600"/>
              </w:tabs>
              <w:ind w:left="251"/>
              <w:rPr>
                <w:b/>
              </w:rPr>
            </w:pPr>
            <w:r w:rsidRPr="000F7AD5">
              <w:rPr>
                <w:b/>
              </w:rPr>
              <w:t>PROPOSED</w:t>
            </w:r>
            <w:r w:rsidRPr="000F7AD5" w:rsidR="009A2A24">
              <w:rPr>
                <w:b/>
              </w:rPr>
              <w:t xml:space="preserve"> </w:t>
            </w:r>
            <w:r w:rsidRPr="000F7AD5" w:rsidR="00DE1E78">
              <w:rPr>
                <w:b/>
              </w:rPr>
              <w:t>AIR QUALITY PLAN APPROVAL</w:t>
            </w:r>
          </w:p>
        </w:tc>
      </w:tr>
    </w:tbl>
    <w:p w:rsidRPr="000F7AD5" w:rsidR="00B5394B" w:rsidP="00A02098" w:rsidRDefault="00B5394B" w14:paraId="779F5480" w14:textId="6C4AE52F">
      <w:pPr>
        <w:jc w:val="both"/>
        <w:rPr>
          <w:i/>
        </w:rPr>
      </w:pPr>
    </w:p>
    <w:p w:rsidRPr="000F7AD5" w:rsidR="00C562AC" w:rsidP="00A02098" w:rsidRDefault="00C562AC" w14:paraId="10472E31" w14:textId="77777777">
      <w:pPr>
        <w:jc w:val="both"/>
        <w:rPr>
          <w:i/>
        </w:rPr>
      </w:pPr>
    </w:p>
    <w:p w:rsidRPr="000F7AD5" w:rsidR="00924460" w:rsidP="001B20BE" w:rsidRDefault="00924460" w14:paraId="779F5481" w14:textId="3B4C8C9E">
      <w:r w:rsidRPr="000F7AD5">
        <w:t>Dear</w:t>
      </w:r>
      <w:r w:rsidRPr="000F7AD5" w:rsidR="001B20BE">
        <w:t xml:space="preserve"> Mr.</w:t>
      </w:r>
      <w:r w:rsidRPr="000F7AD5" w:rsidR="00915E2E">
        <w:t xml:space="preserve"> </w:t>
      </w:r>
      <w:r w:rsidRPr="000F7AD5" w:rsidR="00B87B42">
        <w:t>Allen</w:t>
      </w:r>
      <w:r w:rsidRPr="000F7AD5">
        <w:t>:</w:t>
      </w:r>
    </w:p>
    <w:p w:rsidRPr="000F7AD5" w:rsidR="00B63197" w:rsidP="001701F3" w:rsidRDefault="00B63197" w14:paraId="779F5482" w14:textId="77777777">
      <w:pPr>
        <w:pStyle w:val="BodyTextIndent2"/>
        <w:ind w:firstLine="0"/>
        <w:jc w:val="left"/>
      </w:pPr>
    </w:p>
    <w:p w:rsidRPr="000F7AD5" w:rsidR="00C00F05" w:rsidP="00D73441" w:rsidRDefault="005545DC" w14:paraId="779F5483" w14:textId="75A3E706">
      <w:pPr>
        <w:pStyle w:val="BodyTextIndent2"/>
        <w:jc w:val="left"/>
      </w:pPr>
      <w:r w:rsidRPr="000F7AD5">
        <w:t xml:space="preserve">The Massachusetts Department of Environmental Protection (“MassDEP”), </w:t>
      </w:r>
      <w:r w:rsidRPr="000F7AD5" w:rsidR="002C4C1C">
        <w:t>Bureau of Air and Waste</w:t>
      </w:r>
      <w:r w:rsidRPr="000F7AD5">
        <w:t xml:space="preserve">, has reviewed your Non-major Comprehensive Plan Application (“Application”) listed above.  This Application concerns the proposed </w:t>
      </w:r>
      <w:r w:rsidRPr="000F7AD5" w:rsidR="00566F96">
        <w:t>construction and operation</w:t>
      </w:r>
      <w:r w:rsidRPr="000F7AD5">
        <w:t xml:space="preserve"> </w:t>
      </w:r>
      <w:r w:rsidRPr="000F7AD5" w:rsidR="007736A5">
        <w:t>of</w:t>
      </w:r>
      <w:r w:rsidRPr="000F7AD5" w:rsidR="0040604E">
        <w:t xml:space="preserve"> </w:t>
      </w:r>
      <w:r w:rsidRPr="000F7AD5" w:rsidR="00017FEC">
        <w:t>a</w:t>
      </w:r>
      <w:r w:rsidRPr="000F7AD5" w:rsidR="00ED40D0">
        <w:t xml:space="preserve"> </w:t>
      </w:r>
      <w:r w:rsidRPr="000F7AD5" w:rsidR="000F787B">
        <w:t xml:space="preserve">new </w:t>
      </w:r>
      <w:r w:rsidRPr="000F7AD5" w:rsidR="007B3718">
        <w:t xml:space="preserve">perforating </w:t>
      </w:r>
      <w:r w:rsidRPr="000F7AD5" w:rsidR="00B82EE6">
        <w:t xml:space="preserve">press </w:t>
      </w:r>
      <w:r w:rsidRPr="000F7AD5" w:rsidR="00A8018B">
        <w:t>that will be used</w:t>
      </w:r>
      <w:r w:rsidRPr="000F7AD5" w:rsidR="00303C48">
        <w:t xml:space="preserve"> in</w:t>
      </w:r>
      <w:r w:rsidRPr="000F7AD5" w:rsidR="007B3718">
        <w:t xml:space="preserve"> blade perforating</w:t>
      </w:r>
      <w:r w:rsidRPr="000F7AD5" w:rsidR="00303C48">
        <w:t xml:space="preserve"> </w:t>
      </w:r>
      <w:r w:rsidRPr="000F7AD5" w:rsidR="00B82EE6">
        <w:t>operation</w:t>
      </w:r>
      <w:r w:rsidR="00986AA2">
        <w:t>s</w:t>
      </w:r>
      <w:r w:rsidRPr="000F7AD5" w:rsidR="00DC7DA6">
        <w:t xml:space="preserve">, </w:t>
      </w:r>
      <w:r w:rsidR="00180233">
        <w:t xml:space="preserve">new </w:t>
      </w:r>
      <w:r w:rsidRPr="000F7AD5" w:rsidR="00960FBC">
        <w:t>quality assurance / quality control cleaning of injection molding equipment</w:t>
      </w:r>
      <w:r w:rsidRPr="000F7AD5" w:rsidR="006B0260">
        <w:t>, and</w:t>
      </w:r>
      <w:r w:rsidRPr="000F7AD5" w:rsidR="00C06DCA">
        <w:t xml:space="preserve"> various </w:t>
      </w:r>
      <w:r w:rsidR="00664D92">
        <w:t xml:space="preserve">new </w:t>
      </w:r>
      <w:r w:rsidRPr="000F7AD5" w:rsidR="00B53699">
        <w:t>blade</w:t>
      </w:r>
      <w:r w:rsidRPr="000F7AD5" w:rsidR="00C06DCA">
        <w:t xml:space="preserve"> treatment</w:t>
      </w:r>
      <w:r w:rsidRPr="000F7AD5" w:rsidR="00B53699">
        <w:t xml:space="preserve"> and razors manufacturing </w:t>
      </w:r>
      <w:r w:rsidRPr="000F7AD5" w:rsidR="00C06DCA">
        <w:t>operations</w:t>
      </w:r>
      <w:r w:rsidRPr="000F7AD5" w:rsidR="000E2648">
        <w:t xml:space="preserve"> at</w:t>
      </w:r>
      <w:r w:rsidRPr="000F7AD5" w:rsidR="00300ED2">
        <w:t xml:space="preserve"> your</w:t>
      </w:r>
      <w:r w:rsidRPr="000F7AD5" w:rsidR="000D7552">
        <w:t xml:space="preserve"> </w:t>
      </w:r>
      <w:r w:rsidRPr="000F7AD5" w:rsidR="00B957BE">
        <w:t>facility</w:t>
      </w:r>
      <w:r w:rsidRPr="000F7AD5">
        <w:t xml:space="preserve"> located at </w:t>
      </w:r>
      <w:r w:rsidRPr="000F7AD5" w:rsidR="00A54A30">
        <w:t xml:space="preserve">30 Burtt Road </w:t>
      </w:r>
      <w:r w:rsidRPr="000F7AD5">
        <w:t xml:space="preserve">in </w:t>
      </w:r>
      <w:r w:rsidRPr="000F7AD5" w:rsidR="00A54A30">
        <w:t>Andover</w:t>
      </w:r>
      <w:r w:rsidRPr="000F7AD5">
        <w:t>, Massachusetts (“Facility”).  The Application bears the seal and signature of</w:t>
      </w:r>
      <w:r w:rsidRPr="000F7AD5" w:rsidR="00F805DD">
        <w:t xml:space="preserve"> M</w:t>
      </w:r>
      <w:r w:rsidRPr="000F7AD5" w:rsidR="003A2A56">
        <w:t>r</w:t>
      </w:r>
      <w:r w:rsidRPr="000F7AD5" w:rsidR="00F805DD">
        <w:t>.</w:t>
      </w:r>
      <w:r w:rsidRPr="000F7AD5">
        <w:t xml:space="preserve"> </w:t>
      </w:r>
      <w:r w:rsidRPr="000F7AD5" w:rsidR="003A2A56">
        <w:t>A.J. Jablonowski</w:t>
      </w:r>
      <w:r w:rsidRPr="000F7AD5">
        <w:t xml:space="preserve">, Massachusetts Registered Professional Engineer </w:t>
      </w:r>
      <w:r w:rsidRPr="000F7AD5" w:rsidR="00401C08">
        <w:t>N</w:t>
      </w:r>
      <w:r w:rsidRPr="000F7AD5">
        <w:t xml:space="preserve">umber </w:t>
      </w:r>
      <w:r w:rsidRPr="000F7AD5" w:rsidR="005A7752">
        <w:t>39123</w:t>
      </w:r>
      <w:r w:rsidRPr="000F7AD5">
        <w:t>.</w:t>
      </w:r>
    </w:p>
    <w:p w:rsidRPr="000F7AD5" w:rsidR="001701F3" w:rsidP="001701F3" w:rsidRDefault="001701F3" w14:paraId="779F5484" w14:textId="77777777">
      <w:pPr>
        <w:pStyle w:val="BodyTextIndent2"/>
        <w:ind w:firstLine="0"/>
        <w:jc w:val="left"/>
      </w:pPr>
    </w:p>
    <w:p w:rsidRPr="000F7AD5" w:rsidR="00C00F05" w:rsidP="00B63197" w:rsidRDefault="00C00F05" w14:paraId="779F5485" w14:textId="41BB0A74">
      <w:r w:rsidRPr="000F7AD5">
        <w:t xml:space="preserve">This Application was submitted in accordance with </w:t>
      </w:r>
      <w:r w:rsidRPr="000F7AD5" w:rsidR="006E325D">
        <w:t xml:space="preserve">310 CMR </w:t>
      </w:r>
      <w:r w:rsidRPr="000F7AD5">
        <w:t xml:space="preserve">7.02 Plan Approval and Emission Limitations as contained in 310 CMR 7.00 “Air Pollution Control” </w:t>
      </w:r>
      <w:r w:rsidRPr="000F7AD5" w:rsidR="00FC6F7E">
        <w:t xml:space="preserve">regulations </w:t>
      </w:r>
      <w:r w:rsidRPr="000F7AD5">
        <w:t xml:space="preserve">adopted by MassDEP pursuant to the authority granted by Massachusetts General Laws, Chapter 111, Section 142 </w:t>
      </w:r>
      <w:r w:rsidRPr="000F7AD5" w:rsidR="005A74CA">
        <w:t>A-</w:t>
      </w:r>
      <w:r w:rsidRPr="000F7AD5" w:rsidR="00F0357E">
        <w:t>O</w:t>
      </w:r>
      <w:r w:rsidRPr="000F7AD5" w:rsidR="005A74CA">
        <w:t>,</w:t>
      </w:r>
      <w:r w:rsidRPr="000F7AD5" w:rsidR="00B63197">
        <w:t xml:space="preserve"> Chapter 21C, Section 4 and 6</w:t>
      </w:r>
      <w:r w:rsidRPr="000F7AD5" w:rsidR="005A74CA">
        <w:t>, and Chapter 21E, Section 6</w:t>
      </w:r>
      <w:r w:rsidRPr="000F7AD5" w:rsidR="00B63197">
        <w:t>.</w:t>
      </w:r>
      <w:r w:rsidRPr="000F7AD5" w:rsidR="00F31C57">
        <w:t xml:space="preserve"> </w:t>
      </w:r>
      <w:r w:rsidRPr="000F7AD5">
        <w:t xml:space="preserve">MassDEP’s review </w:t>
      </w:r>
      <w:r w:rsidRPr="000F7AD5" w:rsidR="00E23DF7">
        <w:t xml:space="preserve">of your Application </w:t>
      </w:r>
      <w:r w:rsidRPr="000F7AD5">
        <w:t xml:space="preserve">has been limited to air pollution </w:t>
      </w:r>
      <w:r w:rsidRPr="000F7AD5" w:rsidR="006E325D">
        <w:t xml:space="preserve">control </w:t>
      </w:r>
      <w:r w:rsidRPr="000F7AD5">
        <w:t>regulation compliance and does not relieve you of t</w:t>
      </w:r>
      <w:r w:rsidRPr="000F7AD5" w:rsidR="006E325D">
        <w:t>he obligation to comply with any</w:t>
      </w:r>
      <w:r w:rsidRPr="000F7AD5">
        <w:t xml:space="preserve"> other </w:t>
      </w:r>
      <w:r w:rsidRPr="000F7AD5" w:rsidR="00AB5956">
        <w:t xml:space="preserve">regulatory </w:t>
      </w:r>
      <w:r w:rsidRPr="000F7AD5">
        <w:t>requirements.</w:t>
      </w:r>
    </w:p>
    <w:p w:rsidRPr="000F7AD5" w:rsidR="00924460" w:rsidP="004F00B7" w:rsidRDefault="00924460" w14:paraId="779F5486" w14:textId="77777777"/>
    <w:p w:rsidRPr="000F7AD5" w:rsidR="00924460" w:rsidP="00B63197" w:rsidRDefault="00924460" w14:paraId="779F5487" w14:textId="77777777">
      <w:r w:rsidRPr="000F7AD5">
        <w:t>MassDEP has d</w:t>
      </w:r>
      <w:r w:rsidRPr="000F7AD5" w:rsidR="00F31C57">
        <w:t>etermined that the Applic</w:t>
      </w:r>
      <w:r w:rsidRPr="000F7AD5" w:rsidR="00715C06">
        <w:t>ation is administratively and technically complete and that the Application</w:t>
      </w:r>
      <w:r w:rsidRPr="000F7AD5" w:rsidR="00F31C57">
        <w:t xml:space="preserve"> is</w:t>
      </w:r>
      <w:r w:rsidRPr="000F7AD5">
        <w:t xml:space="preserve"> in conformance with </w:t>
      </w:r>
      <w:r w:rsidRPr="000F7AD5" w:rsidR="00FC6F7E">
        <w:t xml:space="preserve">the Air Pollution Control regulations and </w:t>
      </w:r>
      <w:r w:rsidRPr="000F7AD5">
        <w:t xml:space="preserve">current air pollution control engineering practice, and hereby grants </w:t>
      </w:r>
      <w:r w:rsidRPr="000F7AD5" w:rsidR="0004576F">
        <w:t>this</w:t>
      </w:r>
      <w:r w:rsidRPr="000F7AD5" w:rsidR="006317AA">
        <w:t xml:space="preserve"> </w:t>
      </w:r>
      <w:r w:rsidRPr="000F7AD5" w:rsidR="00E23DF7">
        <w:rPr>
          <w:b/>
          <w:bCs/>
        </w:rPr>
        <w:t>Plan</w:t>
      </w:r>
      <w:r w:rsidRPr="000F7AD5">
        <w:rPr>
          <w:b/>
          <w:bCs/>
        </w:rPr>
        <w:t xml:space="preserve"> Approval</w:t>
      </w:r>
      <w:r w:rsidRPr="000F7AD5">
        <w:t xml:space="preserve"> for said Application, as submitted, subject to the conditions listed below.</w:t>
      </w:r>
    </w:p>
    <w:p w:rsidRPr="000F7AD5" w:rsidR="00924460" w:rsidP="004F00B7" w:rsidRDefault="00924460" w14:paraId="779F5488" w14:textId="77777777"/>
    <w:p w:rsidRPr="000F7AD5" w:rsidR="00E605BD" w:rsidP="00E605BD" w:rsidRDefault="00E605BD" w14:paraId="5FA31E84" w14:textId="77777777">
      <w:bookmarkStart w:name="_Hlk123835154" w:id="2"/>
      <w:r w:rsidRPr="000F7AD5">
        <w:t xml:space="preserve">On </w:t>
      </w:r>
      <w:r w:rsidRPr="00BD2B41">
        <w:rPr>
          <w:highlight w:val="lightGray"/>
        </w:rPr>
        <w:t>DATE,</w:t>
      </w:r>
      <w:r w:rsidRPr="000F7AD5">
        <w:t xml:space="preserve"> public notice was published on the MassDEP website in English for public review and comment on the proposed Non-Major Plan Approval (ePlace Application</w:t>
      </w:r>
    </w:p>
    <w:p w:rsidRPr="000F7AD5" w:rsidR="00E605BD" w:rsidP="00E605BD" w:rsidRDefault="00E605BD" w14:paraId="0FD690C9" w14:textId="33825CA6">
      <w:r w:rsidRPr="000F7AD5">
        <w:t xml:space="preserve">No. 23-AQ02P-0014-APP) for your </w:t>
      </w:r>
      <w:r w:rsidR="00664D92">
        <w:t>f</w:t>
      </w:r>
      <w:r w:rsidRPr="000F7AD5">
        <w:t xml:space="preserve">acility located at 30 Burtt Road in Andover, MA. The comment period ended </w:t>
      </w:r>
      <w:r w:rsidRPr="00BD2B41">
        <w:rPr>
          <w:highlight w:val="lightGray"/>
        </w:rPr>
        <w:t>DATE.</w:t>
      </w:r>
    </w:p>
    <w:p w:rsidRPr="000F7AD5" w:rsidR="00E605BD" w:rsidP="00E605BD" w:rsidRDefault="00E605BD" w14:paraId="599A1CB6" w14:textId="77777777"/>
    <w:p w:rsidRPr="000F7AD5" w:rsidR="00D1040E" w:rsidP="00E605BD" w:rsidRDefault="00E605BD" w14:paraId="6A7FF8BF" w14:textId="6160CCB5">
      <w:r w:rsidRPr="00BD2B41">
        <w:rPr>
          <w:highlight w:val="lightGray"/>
        </w:rPr>
        <w:t>No comments were submitted. - OR - Comments were received. They are summarized in the attached Response to Comments.</w:t>
      </w:r>
    </w:p>
    <w:p w:rsidRPr="000F7AD5" w:rsidR="00E605BD" w:rsidP="00E605BD" w:rsidRDefault="00E605BD" w14:paraId="3B8B12E6" w14:textId="77777777"/>
    <w:p w:rsidRPr="000F7AD5" w:rsidR="007B308C" w:rsidP="007B308C" w:rsidRDefault="007B308C" w14:paraId="78730D3B" w14:textId="5B4D3856">
      <w:r w:rsidRPr="000F7AD5">
        <w:t xml:space="preserve">Please review the entire Plan Approval, as it stipulates the conditions with which the </w:t>
      </w:r>
      <w:r w:rsidR="00BF7744">
        <w:t>f</w:t>
      </w:r>
      <w:r w:rsidRPr="000F7AD5">
        <w:t xml:space="preserve">acility owner/operator (“Permittee”) must comply in order for the </w:t>
      </w:r>
      <w:r w:rsidR="00BF7744">
        <w:t>f</w:t>
      </w:r>
      <w:r w:rsidRPr="000F7AD5">
        <w:t xml:space="preserve">acility to be operated in compliance with this Plan Approval.  </w:t>
      </w:r>
    </w:p>
    <w:bookmarkEnd w:id="2"/>
    <w:p w:rsidRPr="000F7AD5" w:rsidR="003A43DB" w:rsidP="007B308C" w:rsidRDefault="003A43DB" w14:paraId="6F687706" w14:textId="47AAAF76"/>
    <w:p w:rsidRPr="000F7AD5" w:rsidR="00F515AE" w:rsidP="007B308C" w:rsidRDefault="00F515AE" w14:paraId="7A1A0ED1" w14:textId="77777777"/>
    <w:p w:rsidRPr="000F7AD5" w:rsidR="002A49EC" w:rsidP="00FE6CD1" w:rsidRDefault="002A49EC" w14:paraId="774A16F4" w14:textId="77777777"/>
    <w:p w:rsidRPr="000F7AD5" w:rsidR="00924460" w:rsidP="004479BA" w:rsidRDefault="006317AA" w14:paraId="779F5495" w14:textId="77777777">
      <w:pPr>
        <w:pStyle w:val="ListParagraph"/>
        <w:numPr>
          <w:ilvl w:val="0"/>
          <w:numId w:val="3"/>
        </w:numPr>
        <w:ind w:hanging="720"/>
        <w:rPr>
          <w:b/>
          <w:sz w:val="28"/>
          <w:szCs w:val="28"/>
          <w:u w:val="single"/>
        </w:rPr>
      </w:pPr>
      <w:r w:rsidRPr="000F7AD5">
        <w:rPr>
          <w:b/>
          <w:sz w:val="28"/>
          <w:szCs w:val="28"/>
          <w:u w:val="single"/>
        </w:rPr>
        <w:t xml:space="preserve">DESCRIPTION OF FACILITY </w:t>
      </w:r>
      <w:r w:rsidRPr="000F7AD5">
        <w:rPr>
          <w:b/>
          <w:szCs w:val="24"/>
          <w:u w:val="single"/>
        </w:rPr>
        <w:t>AND</w:t>
      </w:r>
      <w:r w:rsidRPr="000F7AD5">
        <w:rPr>
          <w:b/>
          <w:sz w:val="28"/>
          <w:szCs w:val="28"/>
          <w:u w:val="single"/>
        </w:rPr>
        <w:t xml:space="preserve"> </w:t>
      </w:r>
      <w:r w:rsidRPr="000F7AD5" w:rsidR="00A91229">
        <w:rPr>
          <w:b/>
          <w:sz w:val="28"/>
          <w:szCs w:val="28"/>
          <w:u w:val="single"/>
        </w:rPr>
        <w:t>APPLICATION</w:t>
      </w:r>
    </w:p>
    <w:p w:rsidRPr="000F7AD5" w:rsidR="00924460" w:rsidP="00C00C5E" w:rsidRDefault="00924460" w14:paraId="779F5496" w14:textId="77777777"/>
    <w:p w:rsidRPr="000F7AD5" w:rsidR="00F23FF7" w:rsidP="00C00C5E" w:rsidRDefault="00F23FF7" w14:paraId="779F549B" w14:textId="77777777"/>
    <w:p w:rsidRPr="000F7AD5" w:rsidR="00F23FF7" w:rsidP="00B145CC" w:rsidRDefault="00F23FF7" w14:paraId="779F549C" w14:textId="7864D47A">
      <w:pPr>
        <w:pStyle w:val="ListParagraph"/>
        <w:numPr>
          <w:ilvl w:val="0"/>
          <w:numId w:val="8"/>
        </w:numPr>
        <w:rPr>
          <w:u w:val="single"/>
        </w:rPr>
      </w:pPr>
      <w:r w:rsidRPr="000F7AD5">
        <w:rPr>
          <w:u w:val="single"/>
        </w:rPr>
        <w:t>FACILITY DESCRIPTION</w:t>
      </w:r>
    </w:p>
    <w:p w:rsidRPr="000F7AD5" w:rsidR="00F23FF7" w:rsidP="00C00C5E" w:rsidRDefault="00F23FF7" w14:paraId="779F549D" w14:textId="77777777"/>
    <w:p w:rsidRPr="000F7AD5" w:rsidR="007F5246" w:rsidP="00B2220A" w:rsidRDefault="0098050B" w14:paraId="4F03E3E2" w14:textId="77777777">
      <w:pPr>
        <w:tabs>
          <w:tab w:val="left" w:pos="-720"/>
        </w:tabs>
        <w:suppressAutoHyphens/>
        <w:rPr>
          <w:rFonts w:eastAsia="Calibri"/>
          <w:spacing w:val="-3"/>
        </w:rPr>
      </w:pPr>
      <w:r w:rsidRPr="000F7AD5">
        <w:rPr>
          <w:rFonts w:eastAsia="Calibri"/>
          <w:spacing w:val="-3"/>
        </w:rPr>
        <w:t>The Gillette Company</w:t>
      </w:r>
      <w:r w:rsidRPr="000F7AD5" w:rsidR="00AB3428">
        <w:t xml:space="preserve"> </w:t>
      </w:r>
      <w:r w:rsidRPr="000F7AD5" w:rsidR="00AB3428">
        <w:rPr>
          <w:rFonts w:eastAsia="Calibri"/>
          <w:spacing w:val="-3"/>
        </w:rPr>
        <w:t>Andover Manufacturing Center (</w:t>
      </w:r>
      <w:r w:rsidRPr="000F7AD5" w:rsidR="00CA3DD6">
        <w:rPr>
          <w:rFonts w:eastAsia="Calibri"/>
          <w:spacing w:val="-3"/>
        </w:rPr>
        <w:t>“Permittee”</w:t>
      </w:r>
      <w:r w:rsidRPr="000F7AD5" w:rsidR="00C01191">
        <w:rPr>
          <w:rFonts w:eastAsia="Calibri"/>
          <w:spacing w:val="-3"/>
        </w:rPr>
        <w:t xml:space="preserve"> or </w:t>
      </w:r>
      <w:r w:rsidRPr="000F7AD5" w:rsidR="008E4DE9">
        <w:rPr>
          <w:rFonts w:eastAsia="Calibri"/>
          <w:spacing w:val="-3"/>
        </w:rPr>
        <w:t>“</w:t>
      </w:r>
      <w:r w:rsidRPr="000F7AD5" w:rsidR="00C01191">
        <w:rPr>
          <w:rFonts w:eastAsia="Calibri"/>
          <w:spacing w:val="-3"/>
        </w:rPr>
        <w:t>AMC”</w:t>
      </w:r>
      <w:r w:rsidRPr="000F7AD5" w:rsidR="00AB3428">
        <w:rPr>
          <w:rFonts w:eastAsia="Calibri"/>
          <w:spacing w:val="-3"/>
        </w:rPr>
        <w:t>) manufactures shaving products, including shaving cream and shaving gel</w:t>
      </w:r>
      <w:r w:rsidRPr="000F7AD5" w:rsidR="008E4DE9">
        <w:rPr>
          <w:rFonts w:eastAsia="Calibri"/>
          <w:spacing w:val="-3"/>
        </w:rPr>
        <w:t>,</w:t>
      </w:r>
      <w:r w:rsidRPr="000F7AD5" w:rsidR="00C01191">
        <w:rPr>
          <w:rFonts w:eastAsia="Calibri"/>
          <w:spacing w:val="-3"/>
        </w:rPr>
        <w:t xml:space="preserve"> at 30 Burtt Road in Andover</w:t>
      </w:r>
      <w:r w:rsidRPr="000F7AD5" w:rsidR="00AB3428">
        <w:rPr>
          <w:rFonts w:eastAsia="Calibri"/>
          <w:spacing w:val="-3"/>
        </w:rPr>
        <w:t xml:space="preserve">.  </w:t>
      </w:r>
      <w:r w:rsidRPr="000F7AD5" w:rsidR="00D13AA8">
        <w:rPr>
          <w:rFonts w:eastAsia="Calibri"/>
          <w:spacing w:val="-3"/>
        </w:rPr>
        <w:t xml:space="preserve">The </w:t>
      </w:r>
      <w:r w:rsidRPr="000F7AD5" w:rsidR="00DB18E9">
        <w:rPr>
          <w:rFonts w:eastAsia="Calibri"/>
          <w:spacing w:val="-3"/>
        </w:rPr>
        <w:t xml:space="preserve">Permittee currently operates under Plan Approval </w:t>
      </w:r>
      <w:r w:rsidRPr="000F7AD5" w:rsidR="00626A22">
        <w:rPr>
          <w:rFonts w:eastAsia="Calibri"/>
          <w:spacing w:val="-3"/>
        </w:rPr>
        <w:t xml:space="preserve">NE-21-024, </w:t>
      </w:r>
      <w:r w:rsidRPr="000F7AD5" w:rsidR="00594677">
        <w:rPr>
          <w:rFonts w:eastAsia="Calibri"/>
          <w:spacing w:val="-3"/>
        </w:rPr>
        <w:t>issued on March 22, 2022</w:t>
      </w:r>
      <w:r w:rsidRPr="000F7AD5" w:rsidR="007F5246">
        <w:rPr>
          <w:rFonts w:eastAsia="Calibri"/>
          <w:spacing w:val="-3"/>
        </w:rPr>
        <w:t>.</w:t>
      </w:r>
    </w:p>
    <w:p w:rsidRPr="000F7AD5" w:rsidR="007F5246" w:rsidP="00B2220A" w:rsidRDefault="007F5246" w14:paraId="2F456D3E" w14:textId="77777777">
      <w:pPr>
        <w:tabs>
          <w:tab w:val="left" w:pos="-720"/>
        </w:tabs>
        <w:suppressAutoHyphens/>
        <w:rPr>
          <w:rFonts w:eastAsia="Calibri"/>
          <w:spacing w:val="-3"/>
        </w:rPr>
      </w:pPr>
    </w:p>
    <w:p w:rsidRPr="000F7AD5" w:rsidR="00AA2A3A" w:rsidP="00B2220A" w:rsidRDefault="007F5246" w14:paraId="2137EBA5" w14:textId="2D9C160A">
      <w:pPr>
        <w:tabs>
          <w:tab w:val="left" w:pos="-720"/>
        </w:tabs>
        <w:suppressAutoHyphens/>
        <w:rPr>
          <w:rFonts w:eastAsia="Calibri"/>
          <w:spacing w:val="-3"/>
        </w:rPr>
      </w:pPr>
      <w:r w:rsidRPr="000F7AD5">
        <w:rPr>
          <w:rFonts w:eastAsia="Calibri"/>
          <w:spacing w:val="-3"/>
        </w:rPr>
        <w:t>The current Plan Approval NE-21-</w:t>
      </w:r>
      <w:r w:rsidRPr="000F7AD5" w:rsidR="00164C3B">
        <w:rPr>
          <w:rFonts w:eastAsia="Calibri"/>
          <w:spacing w:val="-3"/>
        </w:rPr>
        <w:t>024</w:t>
      </w:r>
      <w:r w:rsidRPr="000F7AD5" w:rsidR="00D13AA8">
        <w:rPr>
          <w:rFonts w:eastAsia="Calibri"/>
          <w:spacing w:val="-3"/>
        </w:rPr>
        <w:t xml:space="preserve"> consist</w:t>
      </w:r>
      <w:r w:rsidRPr="000F7AD5" w:rsidR="0088285E">
        <w:rPr>
          <w:rFonts w:eastAsia="Calibri"/>
          <w:spacing w:val="-3"/>
        </w:rPr>
        <w:t>s</w:t>
      </w:r>
      <w:r w:rsidRPr="000F7AD5" w:rsidR="00D13AA8">
        <w:rPr>
          <w:rFonts w:eastAsia="Calibri"/>
          <w:spacing w:val="-3"/>
        </w:rPr>
        <w:t xml:space="preserve"> of</w:t>
      </w:r>
      <w:r w:rsidRPr="000F7AD5" w:rsidR="00164C3B">
        <w:rPr>
          <w:rFonts w:eastAsia="Calibri"/>
          <w:spacing w:val="-3"/>
        </w:rPr>
        <w:t xml:space="preserve"> the following</w:t>
      </w:r>
      <w:r w:rsidR="00E84FC5">
        <w:rPr>
          <w:rFonts w:eastAsia="Calibri"/>
          <w:spacing w:val="-3"/>
        </w:rPr>
        <w:t xml:space="preserve"> existing</w:t>
      </w:r>
      <w:r w:rsidRPr="000F7AD5" w:rsidR="00164C3B">
        <w:rPr>
          <w:rFonts w:eastAsia="Calibri"/>
          <w:spacing w:val="-3"/>
        </w:rPr>
        <w:t xml:space="preserve"> Emission Units (EU)</w:t>
      </w:r>
      <w:r w:rsidRPr="000F7AD5" w:rsidR="00AA2A3A">
        <w:rPr>
          <w:rFonts w:eastAsia="Calibri"/>
          <w:spacing w:val="-3"/>
        </w:rPr>
        <w:t>:</w:t>
      </w:r>
    </w:p>
    <w:p w:rsidRPr="000F7AD5" w:rsidR="00AA2A3A" w:rsidP="00B2220A" w:rsidRDefault="00AA2A3A" w14:paraId="396519CE" w14:textId="77777777">
      <w:pPr>
        <w:tabs>
          <w:tab w:val="left" w:pos="-720"/>
        </w:tabs>
        <w:suppressAutoHyphens/>
        <w:rPr>
          <w:rFonts w:eastAsia="Calibri"/>
          <w:spacing w:val="-3"/>
        </w:rPr>
      </w:pPr>
    </w:p>
    <w:p w:rsidRPr="000F7AD5" w:rsidR="00A06A3B" w:rsidP="00B2220A" w:rsidRDefault="00AA2A3A" w14:paraId="1F79C79A" w14:textId="0CF72472">
      <w:pPr>
        <w:tabs>
          <w:tab w:val="left" w:pos="-720"/>
        </w:tabs>
        <w:suppressAutoHyphens/>
        <w:rPr>
          <w:rFonts w:eastAsia="Calibri"/>
          <w:spacing w:val="-3"/>
        </w:rPr>
      </w:pPr>
      <w:r w:rsidRPr="000F7AD5">
        <w:rPr>
          <w:rFonts w:eastAsia="Calibri"/>
          <w:spacing w:val="-3"/>
        </w:rPr>
        <w:t>T</w:t>
      </w:r>
      <w:r w:rsidRPr="000F7AD5" w:rsidR="00D13AA8">
        <w:rPr>
          <w:rFonts w:eastAsia="Calibri"/>
          <w:spacing w:val="-3"/>
        </w:rPr>
        <w:t>hree aerosol can filling lines</w:t>
      </w:r>
      <w:r w:rsidRPr="000F7AD5" w:rsidR="00B05336">
        <w:rPr>
          <w:rFonts w:eastAsia="Calibri"/>
          <w:spacing w:val="-3"/>
        </w:rPr>
        <w:t xml:space="preserve">: </w:t>
      </w:r>
      <w:r w:rsidRPr="000F7AD5" w:rsidR="006470EE">
        <w:rPr>
          <w:rFonts w:eastAsia="Calibri"/>
          <w:spacing w:val="-3"/>
        </w:rPr>
        <w:t>EU5 and EU17</w:t>
      </w:r>
      <w:r w:rsidRPr="000F7AD5" w:rsidR="004E09E7">
        <w:rPr>
          <w:rFonts w:eastAsia="Calibri"/>
          <w:spacing w:val="-3"/>
        </w:rPr>
        <w:t>, which</w:t>
      </w:r>
      <w:r w:rsidRPr="000F7AD5" w:rsidR="00B05336">
        <w:rPr>
          <w:rFonts w:eastAsia="Calibri"/>
          <w:spacing w:val="-3"/>
        </w:rPr>
        <w:t xml:space="preserve"> </w:t>
      </w:r>
      <w:r w:rsidRPr="000F7AD5" w:rsidR="00BC0419">
        <w:rPr>
          <w:rFonts w:eastAsia="Calibri"/>
          <w:spacing w:val="-3"/>
        </w:rPr>
        <w:t>emit</w:t>
      </w:r>
      <w:r w:rsidRPr="000F7AD5" w:rsidR="00A06A3B">
        <w:rPr>
          <w:rFonts w:eastAsia="Calibri"/>
          <w:spacing w:val="-3"/>
        </w:rPr>
        <w:t xml:space="preserve"> </w:t>
      </w:r>
      <w:r w:rsidRPr="000F7AD5" w:rsidR="00D13AA8">
        <w:rPr>
          <w:rFonts w:eastAsia="Calibri"/>
          <w:spacing w:val="-3"/>
        </w:rPr>
        <w:t>volatile organic compounds (VOC)</w:t>
      </w:r>
      <w:r w:rsidR="00405065">
        <w:rPr>
          <w:rFonts w:eastAsia="Calibri"/>
          <w:spacing w:val="-3"/>
        </w:rPr>
        <w:t>.</w:t>
      </w:r>
      <w:r w:rsidRPr="000F7AD5" w:rsidR="00D13AA8">
        <w:rPr>
          <w:rFonts w:eastAsia="Calibri"/>
          <w:spacing w:val="-3"/>
        </w:rPr>
        <w:t xml:space="preserve"> </w:t>
      </w:r>
    </w:p>
    <w:p w:rsidRPr="000F7AD5" w:rsidR="00A06A3B" w:rsidP="00B2220A" w:rsidRDefault="00A06A3B" w14:paraId="6244DBD4" w14:textId="77777777">
      <w:pPr>
        <w:tabs>
          <w:tab w:val="left" w:pos="-720"/>
        </w:tabs>
        <w:suppressAutoHyphens/>
        <w:rPr>
          <w:rFonts w:eastAsia="Calibri"/>
          <w:spacing w:val="-3"/>
        </w:rPr>
      </w:pPr>
    </w:p>
    <w:p w:rsidRPr="000F7AD5" w:rsidR="008B1566" w:rsidP="00B2220A" w:rsidRDefault="00920A03" w14:paraId="0E6C521B" w14:textId="6C2FE649">
      <w:pPr>
        <w:tabs>
          <w:tab w:val="left" w:pos="-720"/>
        </w:tabs>
        <w:suppressAutoHyphens/>
        <w:rPr>
          <w:rFonts w:eastAsia="Calibri"/>
          <w:spacing w:val="-3"/>
        </w:rPr>
      </w:pPr>
      <w:r w:rsidRPr="000F7AD5">
        <w:rPr>
          <w:rFonts w:eastAsia="Calibri"/>
          <w:spacing w:val="-3"/>
        </w:rPr>
        <w:t>The Tank Farm</w:t>
      </w:r>
      <w:r w:rsidRPr="000F7AD5" w:rsidR="005630F2">
        <w:rPr>
          <w:rFonts w:eastAsia="Calibri"/>
          <w:spacing w:val="-3"/>
        </w:rPr>
        <w:t>: EU12</w:t>
      </w:r>
      <w:r w:rsidRPr="000F7AD5" w:rsidR="00C84C35">
        <w:rPr>
          <w:rFonts w:eastAsia="Calibri"/>
          <w:spacing w:val="-3"/>
        </w:rPr>
        <w:t xml:space="preserve"> which </w:t>
      </w:r>
      <w:r w:rsidRPr="000F7AD5">
        <w:rPr>
          <w:rFonts w:eastAsia="Calibri"/>
          <w:spacing w:val="-3"/>
        </w:rPr>
        <w:t>consists of t</w:t>
      </w:r>
      <w:r w:rsidRPr="000F7AD5" w:rsidR="00016323">
        <w:rPr>
          <w:rFonts w:eastAsia="Calibri"/>
          <w:spacing w:val="-3"/>
        </w:rPr>
        <w:t>hree</w:t>
      </w:r>
      <w:r w:rsidRPr="000F7AD5" w:rsidR="001851D6">
        <w:rPr>
          <w:rFonts w:eastAsia="Calibri"/>
          <w:spacing w:val="-3"/>
        </w:rPr>
        <w:t xml:space="preserve"> propellant</w:t>
      </w:r>
      <w:r w:rsidRPr="000F7AD5" w:rsidR="008B5A27">
        <w:rPr>
          <w:rFonts w:eastAsia="Calibri"/>
          <w:spacing w:val="-3"/>
        </w:rPr>
        <w:t xml:space="preserve"> tank</w:t>
      </w:r>
      <w:r w:rsidRPr="000F7AD5" w:rsidR="0054256B">
        <w:rPr>
          <w:rFonts w:eastAsia="Calibri"/>
          <w:spacing w:val="-3"/>
        </w:rPr>
        <w:t>s</w:t>
      </w:r>
      <w:r w:rsidRPr="000F7AD5" w:rsidR="00D13AA8">
        <w:rPr>
          <w:rFonts w:eastAsia="Calibri"/>
          <w:spacing w:val="-3"/>
        </w:rPr>
        <w:t xml:space="preserve"> (A46, Blowing Agent, and one spare tank).  </w:t>
      </w:r>
      <w:bookmarkStart w:name="_Hlk156390894" w:id="3"/>
    </w:p>
    <w:p w:rsidRPr="000F7AD5" w:rsidR="008B1566" w:rsidP="00B2220A" w:rsidRDefault="008B1566" w14:paraId="697EC043" w14:textId="77777777">
      <w:pPr>
        <w:tabs>
          <w:tab w:val="left" w:pos="-720"/>
        </w:tabs>
        <w:suppressAutoHyphens/>
        <w:rPr>
          <w:rFonts w:eastAsia="Calibri"/>
          <w:spacing w:val="-3"/>
        </w:rPr>
      </w:pPr>
    </w:p>
    <w:p w:rsidRPr="000F7AD5" w:rsidR="001C03B8" w:rsidP="00B2220A" w:rsidRDefault="001C03B8" w14:paraId="4F23AE76" w14:textId="5EF306B9">
      <w:pPr>
        <w:tabs>
          <w:tab w:val="left" w:pos="-720"/>
        </w:tabs>
        <w:suppressAutoHyphens/>
        <w:rPr>
          <w:szCs w:val="20"/>
        </w:rPr>
      </w:pPr>
      <w:r w:rsidRPr="000F7AD5">
        <w:rPr>
          <w:szCs w:val="20"/>
        </w:rPr>
        <w:t>F</w:t>
      </w:r>
      <w:r w:rsidRPr="000F7AD5" w:rsidR="008B1566">
        <w:rPr>
          <w:szCs w:val="20"/>
        </w:rPr>
        <w:t xml:space="preserve">our </w:t>
      </w:r>
      <w:r w:rsidRPr="000F7AD5" w:rsidR="00AA0FBD">
        <w:rPr>
          <w:szCs w:val="20"/>
        </w:rPr>
        <w:t>Stationary Reciprocating Internal Combustion Engines (</w:t>
      </w:r>
      <w:r w:rsidRPr="000F7AD5" w:rsidR="008B1566">
        <w:rPr>
          <w:szCs w:val="20"/>
        </w:rPr>
        <w:t>RICE</w:t>
      </w:r>
      <w:r w:rsidRPr="000F7AD5" w:rsidR="00AA0FBD">
        <w:rPr>
          <w:szCs w:val="20"/>
        </w:rPr>
        <w:t>)</w:t>
      </w:r>
      <w:r w:rsidRPr="000F7AD5" w:rsidR="008B1566">
        <w:rPr>
          <w:szCs w:val="20"/>
        </w:rPr>
        <w:t xml:space="preserve"> engines</w:t>
      </w:r>
      <w:r w:rsidRPr="000F7AD5">
        <w:rPr>
          <w:szCs w:val="20"/>
        </w:rPr>
        <w:t xml:space="preserve">: </w:t>
      </w:r>
      <w:r w:rsidRPr="000F7AD5" w:rsidR="00CF224D">
        <w:rPr>
          <w:szCs w:val="20"/>
        </w:rPr>
        <w:t>EU</w:t>
      </w:r>
      <w:r w:rsidRPr="000F7AD5" w:rsidR="00751638">
        <w:rPr>
          <w:szCs w:val="20"/>
        </w:rPr>
        <w:t>13, EU14, EU23, and EU24</w:t>
      </w:r>
      <w:r w:rsidRPr="000F7AD5" w:rsidR="00077612">
        <w:t xml:space="preserve"> </w:t>
      </w:r>
      <w:r w:rsidRPr="000F7AD5" w:rsidR="00077612">
        <w:rPr>
          <w:szCs w:val="20"/>
        </w:rPr>
        <w:t>that may be subject to the Federal National Emissions Standards for Hazardous Air Pollutants (NESHAP)</w:t>
      </w:r>
      <w:r w:rsidRPr="000F7AD5" w:rsidR="00E6195B">
        <w:t xml:space="preserve"> </w:t>
      </w:r>
      <w:r w:rsidRPr="000F7AD5" w:rsidR="00E6195B">
        <w:rPr>
          <w:szCs w:val="20"/>
        </w:rPr>
        <w:t>for Stationary Reciprocating Internal Combustion Engines (RICE) under 40 CFR Part 63 Subpart ZZZZ.</w:t>
      </w:r>
    </w:p>
    <w:p w:rsidRPr="000F7AD5" w:rsidR="001C03B8" w:rsidP="00B2220A" w:rsidRDefault="001C03B8" w14:paraId="4D4A3080" w14:textId="77777777">
      <w:pPr>
        <w:tabs>
          <w:tab w:val="left" w:pos="-720"/>
        </w:tabs>
        <w:suppressAutoHyphens/>
        <w:rPr>
          <w:szCs w:val="20"/>
        </w:rPr>
      </w:pPr>
    </w:p>
    <w:p w:rsidRPr="000F7AD5" w:rsidR="00A51761" w:rsidP="00B2220A" w:rsidRDefault="001C03B8" w14:paraId="4E85A6E2" w14:textId="6E7C3CE6">
      <w:pPr>
        <w:tabs>
          <w:tab w:val="left" w:pos="-720"/>
        </w:tabs>
        <w:suppressAutoHyphens/>
        <w:rPr>
          <w:szCs w:val="20"/>
        </w:rPr>
      </w:pPr>
      <w:r w:rsidRPr="000F7AD5">
        <w:rPr>
          <w:szCs w:val="20"/>
        </w:rPr>
        <w:t>T</w:t>
      </w:r>
      <w:r w:rsidRPr="000F7AD5" w:rsidR="008B1566">
        <w:rPr>
          <w:szCs w:val="20"/>
        </w:rPr>
        <w:t xml:space="preserve">wo </w:t>
      </w:r>
      <w:r w:rsidRPr="000F7AD5" w:rsidR="00752553">
        <w:rPr>
          <w:szCs w:val="20"/>
        </w:rPr>
        <w:t xml:space="preserve">natural gas-fired boilers: EU1 and EU3 </w:t>
      </w:r>
      <w:r w:rsidR="00DB75EA">
        <w:rPr>
          <w:szCs w:val="20"/>
        </w:rPr>
        <w:t xml:space="preserve">capable of burning </w:t>
      </w:r>
      <w:r w:rsidRPr="000F7AD5" w:rsidR="00A51761">
        <w:rPr>
          <w:szCs w:val="20"/>
        </w:rPr>
        <w:t>29.291</w:t>
      </w:r>
      <w:r w:rsidR="00DE7F32">
        <w:rPr>
          <w:szCs w:val="20"/>
        </w:rPr>
        <w:t xml:space="preserve"> million British thermal units</w:t>
      </w:r>
      <w:r w:rsidRPr="000F7AD5" w:rsidR="00A51761">
        <w:rPr>
          <w:szCs w:val="20"/>
        </w:rPr>
        <w:t xml:space="preserve"> </w:t>
      </w:r>
      <w:r w:rsidR="00DE7F32">
        <w:rPr>
          <w:szCs w:val="20"/>
        </w:rPr>
        <w:t>(</w:t>
      </w:r>
      <w:r w:rsidRPr="000F7AD5" w:rsidR="00A51761">
        <w:rPr>
          <w:szCs w:val="20"/>
        </w:rPr>
        <w:t>MMB</w:t>
      </w:r>
      <w:r w:rsidR="00DE7F32">
        <w:rPr>
          <w:szCs w:val="20"/>
        </w:rPr>
        <w:t>tu) per hour</w:t>
      </w:r>
      <w:r w:rsidR="007410DA">
        <w:rPr>
          <w:szCs w:val="20"/>
        </w:rPr>
        <w:t xml:space="preserve"> each</w:t>
      </w:r>
      <w:r w:rsidRPr="000F7AD5" w:rsidR="00A51761">
        <w:rPr>
          <w:szCs w:val="20"/>
        </w:rPr>
        <w:t>.</w:t>
      </w:r>
    </w:p>
    <w:p w:rsidRPr="000F7AD5" w:rsidR="00A51761" w:rsidP="00B2220A" w:rsidRDefault="00A51761" w14:paraId="199F5FE5" w14:textId="77777777">
      <w:pPr>
        <w:tabs>
          <w:tab w:val="left" w:pos="-720"/>
        </w:tabs>
        <w:suppressAutoHyphens/>
        <w:rPr>
          <w:szCs w:val="20"/>
        </w:rPr>
      </w:pPr>
    </w:p>
    <w:p w:rsidRPr="000F7AD5" w:rsidR="00B2220A" w:rsidP="00B2220A" w:rsidRDefault="00A51761" w14:paraId="49C126B2" w14:textId="5298936F">
      <w:pPr>
        <w:tabs>
          <w:tab w:val="left" w:pos="-720"/>
        </w:tabs>
        <w:suppressAutoHyphens/>
      </w:pPr>
      <w:r w:rsidRPr="000F7AD5">
        <w:rPr>
          <w:szCs w:val="20"/>
        </w:rPr>
        <w:t>T</w:t>
      </w:r>
      <w:r w:rsidRPr="000F7AD5" w:rsidR="008B1566">
        <w:rPr>
          <w:szCs w:val="20"/>
        </w:rPr>
        <w:t>he remaining</w:t>
      </w:r>
      <w:r w:rsidRPr="000F7AD5" w:rsidR="005273F6">
        <w:rPr>
          <w:szCs w:val="20"/>
        </w:rPr>
        <w:t xml:space="preserve"> emission units in the</w:t>
      </w:r>
      <w:r w:rsidR="00BF7744">
        <w:rPr>
          <w:szCs w:val="20"/>
        </w:rPr>
        <w:t xml:space="preserve"> f</w:t>
      </w:r>
      <w:r w:rsidRPr="000F7AD5" w:rsidR="008B1566">
        <w:rPr>
          <w:szCs w:val="20"/>
        </w:rPr>
        <w:t xml:space="preserve">acility </w:t>
      </w:r>
      <w:r w:rsidR="00DB75EA">
        <w:rPr>
          <w:szCs w:val="20"/>
        </w:rPr>
        <w:t>include</w:t>
      </w:r>
      <w:r w:rsidRPr="000F7AD5" w:rsidR="00AB1386">
        <w:rPr>
          <w:szCs w:val="20"/>
        </w:rPr>
        <w:t xml:space="preserve">: </w:t>
      </w:r>
      <w:r w:rsidRPr="000F7AD5" w:rsidR="008B1566">
        <w:rPr>
          <w:szCs w:val="20"/>
        </w:rPr>
        <w:t xml:space="preserve"> </w:t>
      </w:r>
      <w:r w:rsidRPr="000F7AD5" w:rsidR="00AB1386">
        <w:rPr>
          <w:szCs w:val="20"/>
        </w:rPr>
        <w:t xml:space="preserve">EU10, </w:t>
      </w:r>
      <w:r w:rsidRPr="000F7AD5" w:rsidR="008B1566">
        <w:rPr>
          <w:szCs w:val="20"/>
        </w:rPr>
        <w:t>a pilot lab for testing propellants and concentrates</w:t>
      </w:r>
      <w:r w:rsidR="00DB75EA">
        <w:rPr>
          <w:szCs w:val="20"/>
        </w:rPr>
        <w:t>;</w:t>
      </w:r>
      <w:r w:rsidRPr="000F7AD5" w:rsidR="008B1566">
        <w:rPr>
          <w:szCs w:val="20"/>
        </w:rPr>
        <w:t xml:space="preserve"> </w:t>
      </w:r>
      <w:r w:rsidRPr="000F7AD5" w:rsidR="00AB1386">
        <w:rPr>
          <w:szCs w:val="20"/>
        </w:rPr>
        <w:t>EU19</w:t>
      </w:r>
      <w:r w:rsidRPr="000F7AD5" w:rsidR="00396E33">
        <w:rPr>
          <w:szCs w:val="20"/>
        </w:rPr>
        <w:t xml:space="preserve">, </w:t>
      </w:r>
      <w:r w:rsidRPr="000F7AD5" w:rsidR="008B1566">
        <w:rPr>
          <w:szCs w:val="20"/>
        </w:rPr>
        <w:t>the facility date coding</w:t>
      </w:r>
      <w:r w:rsidR="00B728B6">
        <w:rPr>
          <w:szCs w:val="20"/>
        </w:rPr>
        <w:t xml:space="preserve"> operation</w:t>
      </w:r>
      <w:r w:rsidRPr="000F7AD5" w:rsidR="008B1566">
        <w:rPr>
          <w:szCs w:val="20"/>
        </w:rPr>
        <w:t xml:space="preserve"> which prints a date on the finished product manufactured at the facility</w:t>
      </w:r>
      <w:r w:rsidR="00E16540">
        <w:rPr>
          <w:szCs w:val="20"/>
        </w:rPr>
        <w:t>;</w:t>
      </w:r>
      <w:r w:rsidRPr="000F7AD5" w:rsidR="005A43A8">
        <w:rPr>
          <w:szCs w:val="20"/>
        </w:rPr>
        <w:t xml:space="preserve"> </w:t>
      </w:r>
      <w:r w:rsidRPr="00C46FFB" w:rsidR="00396E33">
        <w:rPr>
          <w:szCs w:val="20"/>
          <w:highlight w:val="yellow"/>
        </w:rPr>
        <w:t xml:space="preserve">EU25, </w:t>
      </w:r>
      <w:r w:rsidRPr="00C46FFB" w:rsidR="009954E6">
        <w:rPr>
          <w:szCs w:val="20"/>
          <w:highlight w:val="yellow"/>
        </w:rPr>
        <w:t xml:space="preserve">miscellaneous VOC emissions from venting, repairs, etc. </w:t>
      </w:r>
      <w:r w:rsidRPr="00C46FFB" w:rsidR="009954E6">
        <w:rPr>
          <w:szCs w:val="20"/>
          <w:highlight w:val="yellow"/>
        </w:rPr>
        <w:lastRenderedPageBreak/>
        <w:t>from gas rooms associated with production lines</w:t>
      </w:r>
      <w:r w:rsidRPr="00C46FFB" w:rsidR="00652794">
        <w:rPr>
          <w:szCs w:val="20"/>
          <w:highlight w:val="yellow"/>
        </w:rPr>
        <w:t>;</w:t>
      </w:r>
      <w:r w:rsidRPr="002A1E52" w:rsidR="00652794">
        <w:rPr>
          <w:szCs w:val="20"/>
        </w:rPr>
        <w:t xml:space="preserve"> </w:t>
      </w:r>
      <w:r w:rsidRPr="002A1E52" w:rsidR="004C77E1">
        <w:rPr>
          <w:szCs w:val="20"/>
        </w:rPr>
        <w:t>ethanol</w:t>
      </w:r>
      <w:r w:rsidRPr="002A1E52" w:rsidR="00504076">
        <w:rPr>
          <w:szCs w:val="20"/>
        </w:rPr>
        <w:t xml:space="preserve"> usage</w:t>
      </w:r>
      <w:r w:rsidRPr="002A1E52" w:rsidR="004C77E1">
        <w:rPr>
          <w:szCs w:val="20"/>
        </w:rPr>
        <w:t xml:space="preserve"> for s</w:t>
      </w:r>
      <w:r w:rsidRPr="002A1E52" w:rsidR="00366C50">
        <w:rPr>
          <w:szCs w:val="20"/>
        </w:rPr>
        <w:t xml:space="preserve">anitizing </w:t>
      </w:r>
      <w:r w:rsidRPr="002A1E52" w:rsidR="004C77E1">
        <w:rPr>
          <w:szCs w:val="20"/>
        </w:rPr>
        <w:t>key surfaces</w:t>
      </w:r>
      <w:r w:rsidRPr="002A1E52" w:rsidR="0082407E">
        <w:rPr>
          <w:szCs w:val="20"/>
        </w:rPr>
        <w:t xml:space="preserve"> </w:t>
      </w:r>
      <w:r w:rsidRPr="002A1E52" w:rsidR="004C77E1">
        <w:rPr>
          <w:szCs w:val="20"/>
        </w:rPr>
        <w:t>at many different locations</w:t>
      </w:r>
      <w:r w:rsidRPr="002A1E52" w:rsidR="00504076">
        <w:rPr>
          <w:szCs w:val="20"/>
        </w:rPr>
        <w:t xml:space="preserve"> of the facility</w:t>
      </w:r>
      <w:r w:rsidRPr="002A1E52" w:rsidR="008B1566">
        <w:rPr>
          <w:szCs w:val="20"/>
        </w:rPr>
        <w:t>.</w:t>
      </w:r>
      <w:r w:rsidRPr="000F7AD5" w:rsidR="006338C2">
        <w:t xml:space="preserve"> </w:t>
      </w:r>
    </w:p>
    <w:p w:rsidR="007D0352" w:rsidP="00B2220A" w:rsidRDefault="007D0352" w14:paraId="257E82F6" w14:textId="77777777">
      <w:pPr>
        <w:tabs>
          <w:tab w:val="left" w:pos="-720"/>
        </w:tabs>
        <w:suppressAutoHyphens/>
      </w:pPr>
    </w:p>
    <w:p w:rsidR="000111C8" w:rsidP="00B2220A" w:rsidRDefault="000111C8" w14:paraId="52AF46FE" w14:textId="4C34E1DD">
      <w:pPr>
        <w:tabs>
          <w:tab w:val="left" w:pos="-720"/>
        </w:tabs>
        <w:suppressAutoHyphens/>
        <w:rPr>
          <w:rFonts w:eastAsia="Calibri"/>
          <w:spacing w:val="-3"/>
        </w:rPr>
      </w:pPr>
      <w:r>
        <w:rPr>
          <w:rFonts w:eastAsia="Calibri"/>
          <w:spacing w:val="-3"/>
        </w:rPr>
        <w:t xml:space="preserve">In </w:t>
      </w:r>
      <w:r w:rsidR="00E87F15">
        <w:rPr>
          <w:rFonts w:eastAsia="Calibri"/>
          <w:spacing w:val="-3"/>
        </w:rPr>
        <w:t>addition,</w:t>
      </w:r>
      <w:r>
        <w:rPr>
          <w:rFonts w:eastAsia="Calibri"/>
          <w:spacing w:val="-3"/>
        </w:rPr>
        <w:t xml:space="preserve"> </w:t>
      </w:r>
      <w:r w:rsidRPr="000F7AD5" w:rsidR="0048113D">
        <w:rPr>
          <w:rFonts w:eastAsia="Calibri"/>
          <w:spacing w:val="-3"/>
        </w:rPr>
        <w:t>a shave gel manufacturing line</w:t>
      </w:r>
      <w:r w:rsidR="003066A7">
        <w:rPr>
          <w:rFonts w:eastAsia="Calibri"/>
          <w:spacing w:val="-3"/>
        </w:rPr>
        <w:t>, Line 4,</w:t>
      </w:r>
      <w:r w:rsidR="0048113D">
        <w:rPr>
          <w:rFonts w:eastAsia="Calibri"/>
          <w:spacing w:val="-3"/>
        </w:rPr>
        <w:t xml:space="preserve"> existed at t</w:t>
      </w:r>
      <w:r>
        <w:rPr>
          <w:rFonts w:eastAsia="Calibri"/>
          <w:spacing w:val="-3"/>
        </w:rPr>
        <w:t>he Facility</w:t>
      </w:r>
      <w:r w:rsidR="00245185">
        <w:rPr>
          <w:rFonts w:eastAsia="Calibri"/>
          <w:spacing w:val="-3"/>
        </w:rPr>
        <w:t xml:space="preserve"> and</w:t>
      </w:r>
      <w:r w:rsidRPr="000F7AD5">
        <w:rPr>
          <w:rFonts w:eastAsia="Calibri"/>
          <w:spacing w:val="-3"/>
        </w:rPr>
        <w:t xml:space="preserve"> </w:t>
      </w:r>
      <w:r>
        <w:rPr>
          <w:rFonts w:eastAsia="Calibri"/>
          <w:spacing w:val="-3"/>
        </w:rPr>
        <w:t xml:space="preserve">that had previously </w:t>
      </w:r>
      <w:r w:rsidR="007B25D7">
        <w:rPr>
          <w:rFonts w:eastAsia="Calibri"/>
          <w:spacing w:val="-3"/>
        </w:rPr>
        <w:t>been approved</w:t>
      </w:r>
      <w:r w:rsidR="00245185">
        <w:rPr>
          <w:rFonts w:eastAsia="Calibri"/>
          <w:spacing w:val="-3"/>
        </w:rPr>
        <w:t xml:space="preserve"> as EU7</w:t>
      </w:r>
      <w:r w:rsidR="003066A7">
        <w:rPr>
          <w:rFonts w:eastAsia="Calibri"/>
          <w:spacing w:val="-3"/>
        </w:rPr>
        <w:t>.  Said approval included</w:t>
      </w:r>
      <w:r w:rsidR="007B25D7">
        <w:rPr>
          <w:rFonts w:eastAsia="Calibri"/>
          <w:spacing w:val="-3"/>
        </w:rPr>
        <w:t xml:space="preserve"> </w:t>
      </w:r>
      <w:r w:rsidRPr="000F7AD5">
        <w:rPr>
          <w:rFonts w:eastAsia="Calibri"/>
          <w:spacing w:val="-3"/>
        </w:rPr>
        <w:t>VOC</w:t>
      </w:r>
      <w:r w:rsidR="0069540F">
        <w:rPr>
          <w:rFonts w:eastAsia="Calibri"/>
          <w:spacing w:val="-3"/>
        </w:rPr>
        <w:t xml:space="preserve"> </w:t>
      </w:r>
      <w:bookmarkStart w:name="_Hlk167434656" w:id="4"/>
      <w:r w:rsidRPr="0069540F" w:rsidR="0069540F">
        <w:rPr>
          <w:rFonts w:eastAsia="Calibri"/>
          <w:spacing w:val="-3"/>
          <w:highlight w:val="yellow"/>
        </w:rPr>
        <w:t>propellant</w:t>
      </w:r>
      <w:bookmarkEnd w:id="4"/>
      <w:r w:rsidR="007B25D7">
        <w:rPr>
          <w:rFonts w:eastAsia="Calibri"/>
          <w:spacing w:val="-3"/>
        </w:rPr>
        <w:t xml:space="preserve"> emission and operational limits and monitoring and record-keeping requirements</w:t>
      </w:r>
      <w:r w:rsidRPr="000F7AD5">
        <w:rPr>
          <w:rFonts w:eastAsia="Calibri"/>
          <w:spacing w:val="-3"/>
        </w:rPr>
        <w:t>.</w:t>
      </w:r>
      <w:r w:rsidR="00E87F15">
        <w:rPr>
          <w:rFonts w:eastAsia="Calibri"/>
          <w:spacing w:val="-3"/>
        </w:rPr>
        <w:t xml:space="preserve"> Subsequent</w:t>
      </w:r>
      <w:r w:rsidR="003F3536">
        <w:rPr>
          <w:rFonts w:eastAsia="Calibri"/>
          <w:spacing w:val="-3"/>
        </w:rPr>
        <w:t>ly,</w:t>
      </w:r>
      <w:r w:rsidR="00B31B41">
        <w:rPr>
          <w:rFonts w:eastAsia="Calibri"/>
          <w:spacing w:val="-3"/>
        </w:rPr>
        <w:t xml:space="preserve"> MassDEP </w:t>
      </w:r>
      <w:r w:rsidR="00677093">
        <w:rPr>
          <w:rFonts w:eastAsia="Calibri"/>
          <w:spacing w:val="-3"/>
        </w:rPr>
        <w:t xml:space="preserve">issued Approval Number MBR-09-IND-011, </w:t>
      </w:r>
      <w:r w:rsidR="00E873FB">
        <w:rPr>
          <w:rFonts w:eastAsia="Calibri"/>
          <w:spacing w:val="-3"/>
        </w:rPr>
        <w:t xml:space="preserve">requiring that </w:t>
      </w:r>
      <w:r w:rsidR="009A71A9">
        <w:rPr>
          <w:rFonts w:eastAsia="Calibri"/>
          <w:spacing w:val="-3"/>
        </w:rPr>
        <w:t xml:space="preserve">the VOC </w:t>
      </w:r>
      <w:r w:rsidRPr="0069540F" w:rsidR="0069540F">
        <w:rPr>
          <w:rFonts w:eastAsia="Calibri"/>
          <w:spacing w:val="-3"/>
          <w:highlight w:val="yellow"/>
        </w:rPr>
        <w:t>propellant</w:t>
      </w:r>
      <w:r w:rsidRPr="0069540F" w:rsidR="0069540F">
        <w:rPr>
          <w:rFonts w:eastAsia="Calibri"/>
          <w:spacing w:val="-3"/>
        </w:rPr>
        <w:t xml:space="preserve"> </w:t>
      </w:r>
      <w:r w:rsidR="009A71A9">
        <w:rPr>
          <w:rFonts w:eastAsia="Calibri"/>
          <w:spacing w:val="-3"/>
        </w:rPr>
        <w:t>injection lines be physically removed</w:t>
      </w:r>
      <w:r w:rsidR="00A0589E">
        <w:rPr>
          <w:rFonts w:eastAsia="Calibri"/>
          <w:spacing w:val="-3"/>
        </w:rPr>
        <w:t xml:space="preserve">. </w:t>
      </w:r>
      <w:r w:rsidR="003F3536">
        <w:rPr>
          <w:rFonts w:eastAsia="Calibri"/>
          <w:spacing w:val="-3"/>
        </w:rPr>
        <w:t xml:space="preserve"> </w:t>
      </w:r>
      <w:r w:rsidR="00A0589E">
        <w:rPr>
          <w:rFonts w:eastAsia="Calibri"/>
          <w:spacing w:val="-3"/>
        </w:rPr>
        <w:t xml:space="preserve">Since Line 4 </w:t>
      </w:r>
      <w:r w:rsidR="003A493F">
        <w:rPr>
          <w:rFonts w:eastAsia="Calibri"/>
          <w:spacing w:val="-3"/>
        </w:rPr>
        <w:t>no longer utilizes VOC</w:t>
      </w:r>
      <w:r w:rsidRPr="0069540F" w:rsidR="0069540F">
        <w:t xml:space="preserve"> </w:t>
      </w:r>
      <w:r w:rsidRPr="0069540F" w:rsidR="0069540F">
        <w:rPr>
          <w:rFonts w:eastAsia="Calibri"/>
          <w:spacing w:val="-3"/>
          <w:highlight w:val="yellow"/>
        </w:rPr>
        <w:t>propellant</w:t>
      </w:r>
      <w:r w:rsidR="00397978">
        <w:rPr>
          <w:rFonts w:eastAsia="Calibri"/>
          <w:spacing w:val="-3"/>
        </w:rPr>
        <w:t>,</w:t>
      </w:r>
      <w:r w:rsidR="00141274">
        <w:rPr>
          <w:rFonts w:eastAsia="Calibri"/>
          <w:spacing w:val="-3"/>
        </w:rPr>
        <w:t xml:space="preserve"> there are zero VOC emissions</w:t>
      </w:r>
      <w:r w:rsidR="00397978">
        <w:rPr>
          <w:rFonts w:eastAsia="Calibri"/>
          <w:spacing w:val="-3"/>
        </w:rPr>
        <w:t xml:space="preserve"> and</w:t>
      </w:r>
      <w:r w:rsidR="003E7C94">
        <w:rPr>
          <w:rFonts w:eastAsia="Calibri"/>
          <w:spacing w:val="-3"/>
        </w:rPr>
        <w:t>,</w:t>
      </w:r>
      <w:r w:rsidR="00397978">
        <w:rPr>
          <w:rFonts w:eastAsia="Calibri"/>
          <w:spacing w:val="-3"/>
        </w:rPr>
        <w:t xml:space="preserve"> </w:t>
      </w:r>
      <w:r w:rsidR="00E75526">
        <w:rPr>
          <w:rFonts w:eastAsia="Calibri"/>
          <w:spacing w:val="-3"/>
        </w:rPr>
        <w:t>therefore, said Line</w:t>
      </w:r>
      <w:r w:rsidR="00397978">
        <w:rPr>
          <w:rFonts w:eastAsia="Calibri"/>
          <w:spacing w:val="-3"/>
        </w:rPr>
        <w:t xml:space="preserve"> is not contained herein.</w:t>
      </w:r>
    </w:p>
    <w:p w:rsidRPr="000F7AD5" w:rsidR="001960C3" w:rsidP="00B2220A" w:rsidRDefault="001960C3" w14:paraId="284B43E7" w14:textId="77777777">
      <w:pPr>
        <w:tabs>
          <w:tab w:val="left" w:pos="-720"/>
        </w:tabs>
        <w:suppressAutoHyphens/>
      </w:pPr>
    </w:p>
    <w:p w:rsidRPr="000F7AD5" w:rsidR="007D0352" w:rsidP="00B2220A" w:rsidRDefault="007D0352" w14:paraId="541E7FCF" w14:textId="77777777">
      <w:pPr>
        <w:tabs>
          <w:tab w:val="left" w:pos="-720"/>
        </w:tabs>
        <w:suppressAutoHyphens/>
      </w:pPr>
    </w:p>
    <w:bookmarkEnd w:id="3"/>
    <w:p w:rsidRPr="000F7AD5" w:rsidR="00F23FF7" w:rsidP="00B145CC" w:rsidRDefault="00F23FF7" w14:paraId="779F54A2" w14:textId="077AC0B6">
      <w:pPr>
        <w:pStyle w:val="ListParagraph"/>
        <w:numPr>
          <w:ilvl w:val="0"/>
          <w:numId w:val="8"/>
        </w:numPr>
        <w:rPr>
          <w:u w:val="single"/>
        </w:rPr>
      </w:pPr>
      <w:r w:rsidRPr="000F7AD5">
        <w:rPr>
          <w:u w:val="single"/>
        </w:rPr>
        <w:t>PROJECT DESCRIPTION</w:t>
      </w:r>
    </w:p>
    <w:p w:rsidRPr="000F7AD5" w:rsidR="00F23FF7" w:rsidP="00C00C5E" w:rsidRDefault="00F23FF7" w14:paraId="779F54A3" w14:textId="16107521"/>
    <w:p w:rsidRPr="000F7AD5" w:rsidR="00EF7FEC" w:rsidP="00430FBB" w:rsidRDefault="00C96863" w14:paraId="1B237A1E" w14:textId="66B7D0FB">
      <w:r w:rsidRPr="000F7AD5">
        <w:t>The Permittee is proposing to install</w:t>
      </w:r>
      <w:r w:rsidRPr="000F7AD5" w:rsidR="00B23F92">
        <w:t xml:space="preserve"> three new</w:t>
      </w:r>
      <w:r w:rsidRPr="000F7AD5" w:rsidR="00CB68B8">
        <w:t xml:space="preserve"> emission units</w:t>
      </w:r>
      <w:r w:rsidRPr="000F7AD5" w:rsidR="00C734F8">
        <w:t xml:space="preserve"> related to</w:t>
      </w:r>
      <w:r w:rsidRPr="000F7AD5" w:rsidR="005E4522">
        <w:t xml:space="preserve"> blades and razors manufacturing</w:t>
      </w:r>
      <w:r w:rsidRPr="000F7AD5" w:rsidR="007D0352">
        <w:t xml:space="preserve"> operations</w:t>
      </w:r>
      <w:r w:rsidRPr="000F7AD5" w:rsidR="005E4522">
        <w:t xml:space="preserve">, </w:t>
      </w:r>
      <w:r w:rsidRPr="000F7AD5" w:rsidR="00FE127C">
        <w:t>as described below.</w:t>
      </w:r>
    </w:p>
    <w:p w:rsidRPr="000F7AD5" w:rsidR="00EF7FEC" w:rsidP="00730123" w:rsidRDefault="00EF7FEC" w14:paraId="5400376F" w14:textId="77777777"/>
    <w:p w:rsidR="0041138E" w:rsidP="00053C8D" w:rsidRDefault="00730123" w14:paraId="79465A31" w14:textId="7BEFFF2C">
      <w:r w:rsidRPr="000F7AD5">
        <w:t>EU</w:t>
      </w:r>
      <w:r w:rsidRPr="000F7AD5" w:rsidR="00EF7FEC">
        <w:t>27</w:t>
      </w:r>
      <w:r w:rsidRPr="000F7AD5" w:rsidR="00BF7EC5">
        <w:t xml:space="preserve"> will </w:t>
      </w:r>
      <w:r w:rsidR="00B728B6">
        <w:t>emit</w:t>
      </w:r>
      <w:r w:rsidRPr="000F7AD5">
        <w:t xml:space="preserve"> VOC and</w:t>
      </w:r>
      <w:r w:rsidRPr="000F7AD5" w:rsidR="00BF7EC5">
        <w:t xml:space="preserve"> Particulate</w:t>
      </w:r>
      <w:r w:rsidRPr="000F7AD5" w:rsidR="00D22187">
        <w:t xml:space="preserve"> Matter</w:t>
      </w:r>
      <w:r w:rsidRPr="001A4654" w:rsidR="001A4654">
        <w:t xml:space="preserve"> less than or equal to 2.5 microns in diameter</w:t>
      </w:r>
      <w:r w:rsidRPr="000F7AD5">
        <w:t xml:space="preserve"> </w:t>
      </w:r>
      <w:r w:rsidR="00193FA4">
        <w:t>(PM</w:t>
      </w:r>
      <w:r w:rsidRPr="00193FA4" w:rsidR="00193FA4">
        <w:rPr>
          <w:vertAlign w:val="subscript"/>
        </w:rPr>
        <w:t>2.5</w:t>
      </w:r>
      <w:r w:rsidR="00193FA4">
        <w:t xml:space="preserve">) </w:t>
      </w:r>
      <w:r w:rsidRPr="000F7AD5">
        <w:t xml:space="preserve">from perforation press lubricating oil </w:t>
      </w:r>
      <w:r w:rsidRPr="000F7AD5" w:rsidR="0032798E">
        <w:t xml:space="preserve">that will be </w:t>
      </w:r>
      <w:r w:rsidRPr="000F7AD5">
        <w:t xml:space="preserve">used </w:t>
      </w:r>
      <w:r w:rsidR="00FC002D">
        <w:t>in</w:t>
      </w:r>
      <w:r w:rsidR="00D745BB">
        <w:t xml:space="preserve"> the operations of</w:t>
      </w:r>
      <w:r w:rsidR="00FC002D">
        <w:t xml:space="preserve"> three</w:t>
      </w:r>
      <w:r w:rsidRPr="00EE7E84" w:rsidR="00F61DB0">
        <w:rPr>
          <w:color w:val="548DD4" w:themeColor="text2" w:themeTint="99"/>
        </w:rPr>
        <w:t xml:space="preserve"> </w:t>
      </w:r>
      <w:r w:rsidRPr="000F7AD5">
        <w:t>blade perforation</w:t>
      </w:r>
      <w:r w:rsidR="005B5607">
        <w:t xml:space="preserve"> press</w:t>
      </w:r>
      <w:r w:rsidR="00FC002D">
        <w:t xml:space="preserve"> machines</w:t>
      </w:r>
      <w:r w:rsidR="003D08CE">
        <w:t>.</w:t>
      </w:r>
      <w:r w:rsidRPr="000F7AD5">
        <w:t xml:space="preserve"> </w:t>
      </w:r>
    </w:p>
    <w:p w:rsidR="0041138E" w:rsidP="00053C8D" w:rsidRDefault="0041138E" w14:paraId="4623EF0B" w14:textId="77777777"/>
    <w:p w:rsidRPr="000F7AD5" w:rsidR="00730123" w:rsidP="00053C8D" w:rsidRDefault="00730123" w14:paraId="554113B1" w14:textId="44F286A9">
      <w:r w:rsidRPr="000F7AD5">
        <w:t xml:space="preserve">The perforation press lubricating oil is a light oil with relatively low vapor pressure which is thinly sprayed onto the metal blade strips within the mechanical metal perforation press. </w:t>
      </w:r>
      <w:r w:rsidRPr="000F7AD5" w:rsidR="00683908">
        <w:t xml:space="preserve"> </w:t>
      </w:r>
      <w:r w:rsidRPr="000F7AD5" w:rsidR="000D159F">
        <w:t xml:space="preserve">Emissions from the perforation press lubricating oil will have properties of both an oil mist, which will be tracked as </w:t>
      </w:r>
      <w:r w:rsidRPr="00C961BC" w:rsidR="000D159F">
        <w:t>PM</w:t>
      </w:r>
      <w:r w:rsidRPr="000D159F" w:rsidR="000D159F">
        <w:rPr>
          <w:vertAlign w:val="subscript"/>
        </w:rPr>
        <w:t>2.5</w:t>
      </w:r>
      <w:r w:rsidR="00F30EE8">
        <w:rPr>
          <w:vertAlign w:val="subscript"/>
        </w:rPr>
        <w:t>,</w:t>
      </w:r>
      <w:r w:rsidR="00E706C2">
        <w:t xml:space="preserve"> </w:t>
      </w:r>
      <w:r w:rsidRPr="002F2D60" w:rsidR="002F2D60">
        <w:t>and</w:t>
      </w:r>
      <w:r w:rsidR="00160F4C">
        <w:t xml:space="preserve"> evaporative</w:t>
      </w:r>
      <w:r w:rsidRPr="00C961BC" w:rsidR="000D159F">
        <w:t xml:space="preserve"> </w:t>
      </w:r>
      <w:r w:rsidRPr="000F7AD5" w:rsidR="000D159F">
        <w:t>VOC</w:t>
      </w:r>
      <w:r w:rsidR="00915917">
        <w:t xml:space="preserve"> emissions</w:t>
      </w:r>
      <w:r w:rsidR="000D159F">
        <w:t xml:space="preserve">. </w:t>
      </w:r>
      <w:r w:rsidRPr="000F7AD5" w:rsidR="000D159F">
        <w:t xml:space="preserve"> </w:t>
      </w:r>
      <w:r w:rsidRPr="000F7AD5" w:rsidR="00B122AC">
        <w:t>The Permittee is proposing</w:t>
      </w:r>
      <w:r w:rsidRPr="000F7AD5" w:rsidR="003318B0">
        <w:t xml:space="preserve"> 5.98 </w:t>
      </w:r>
      <w:r w:rsidRPr="000F7AD5" w:rsidR="00053C8D">
        <w:t xml:space="preserve">tons per </w:t>
      </w:r>
      <w:r w:rsidR="00EE3913">
        <w:t>consecutive</w:t>
      </w:r>
      <w:r w:rsidRPr="000F7AD5" w:rsidR="00A9357E">
        <w:t xml:space="preserve"> twelve</w:t>
      </w:r>
      <w:r w:rsidRPr="000F7AD5" w:rsidR="00053C8D">
        <w:t xml:space="preserve">-month period of </w:t>
      </w:r>
      <w:r w:rsidRPr="000F7AD5" w:rsidR="003318B0">
        <w:t xml:space="preserve">VOC and 5.98 </w:t>
      </w:r>
      <w:r w:rsidRPr="000F7AD5" w:rsidR="00053C8D">
        <w:t xml:space="preserve">tons per </w:t>
      </w:r>
      <w:r w:rsidR="00EE3913">
        <w:t>consecutive twelve-month</w:t>
      </w:r>
      <w:r w:rsidRPr="000F7AD5" w:rsidR="00053C8D">
        <w:t xml:space="preserve"> period </w:t>
      </w:r>
      <w:r w:rsidRPr="000D159F" w:rsidR="00053C8D">
        <w:t xml:space="preserve">of </w:t>
      </w:r>
      <w:r w:rsidRPr="000D159F" w:rsidR="003318B0">
        <w:t>PM</w:t>
      </w:r>
      <w:r w:rsidRPr="000D159F" w:rsidR="00565641">
        <w:rPr>
          <w:vertAlign w:val="subscript"/>
        </w:rPr>
        <w:t>2</w:t>
      </w:r>
      <w:r w:rsidRPr="00565641" w:rsidR="00565641">
        <w:rPr>
          <w:vertAlign w:val="subscript"/>
        </w:rPr>
        <w:t>.5</w:t>
      </w:r>
      <w:r w:rsidRPr="00565641" w:rsidR="003318B0">
        <w:rPr>
          <w:vertAlign w:val="subscript"/>
        </w:rPr>
        <w:t xml:space="preserve"> </w:t>
      </w:r>
      <w:r w:rsidRPr="000F7AD5">
        <w:t>based on raw material use</w:t>
      </w:r>
      <w:r w:rsidRPr="000F7AD5" w:rsidR="00973719">
        <w:t xml:space="preserve"> and material balance</w:t>
      </w:r>
      <w:r w:rsidRPr="000F7AD5" w:rsidR="000A20DB">
        <w:t>.</w:t>
      </w:r>
      <w:r w:rsidR="009F278B">
        <w:t xml:space="preserve"> The Permittee has </w:t>
      </w:r>
      <w:r w:rsidR="00D66210">
        <w:t xml:space="preserve">proposed to track perforation press lubricating oil that is not used and recovered on site. </w:t>
      </w:r>
      <w:r w:rsidRPr="000F7AD5">
        <w:t xml:space="preserve"> The </w:t>
      </w:r>
      <w:r w:rsidRPr="000F7AD5" w:rsidR="00A46A1C">
        <w:t>proposed</w:t>
      </w:r>
      <w:r w:rsidRPr="000F7AD5">
        <w:t xml:space="preserve"> operations </w:t>
      </w:r>
      <w:r w:rsidRPr="000F7AD5" w:rsidR="00322721">
        <w:t>from EU27</w:t>
      </w:r>
      <w:r w:rsidRPr="000F7AD5">
        <w:t xml:space="preserve"> will</w:t>
      </w:r>
      <w:r w:rsidRPr="000F7AD5" w:rsidR="00BD0C7D">
        <w:t xml:space="preserve"> utilize</w:t>
      </w:r>
      <w:r w:rsidRPr="000F7AD5">
        <w:t xml:space="preserve"> two identical exhaust stacks with 2,000</w:t>
      </w:r>
      <w:r w:rsidRPr="000F7AD5" w:rsidR="0028726A">
        <w:t xml:space="preserve"> actual cubic feet per minute (</w:t>
      </w:r>
      <w:r w:rsidR="00A717BE">
        <w:t>acfm</w:t>
      </w:r>
      <w:r w:rsidR="009A7B19">
        <w:t>)</w:t>
      </w:r>
      <w:r w:rsidRPr="000F7AD5">
        <w:t xml:space="preserve"> </w:t>
      </w:r>
      <w:r w:rsidR="00680284">
        <w:t xml:space="preserve">flow </w:t>
      </w:r>
      <w:r w:rsidRPr="000F7AD5">
        <w:t>each.</w:t>
      </w:r>
    </w:p>
    <w:p w:rsidRPr="000F7AD5" w:rsidR="0028726A" w:rsidP="00730123" w:rsidRDefault="0028726A" w14:paraId="7D092FB1" w14:textId="77777777"/>
    <w:p w:rsidRPr="000F7AD5" w:rsidR="00584070" w:rsidP="00730123" w:rsidRDefault="00730123" w14:paraId="51F631ED" w14:textId="1F272ED6">
      <w:r w:rsidRPr="000F7AD5">
        <w:t xml:space="preserve">EU28 </w:t>
      </w:r>
      <w:r w:rsidRPr="000F7AD5" w:rsidR="00BD0C7D">
        <w:t xml:space="preserve">will </w:t>
      </w:r>
      <w:r w:rsidR="0030453A">
        <w:t>emit</w:t>
      </w:r>
      <w:r w:rsidRPr="000F7AD5">
        <w:t xml:space="preserve"> VOC emissions from isopropanol used in </w:t>
      </w:r>
      <w:bookmarkStart w:name="_Hlk164323525" w:id="5"/>
      <w:r w:rsidRPr="000F7AD5">
        <w:t xml:space="preserve">quality assurance / quality control </w:t>
      </w:r>
      <w:bookmarkEnd w:id="5"/>
      <w:r w:rsidRPr="000F7AD5" w:rsidR="002B557D">
        <w:t>(</w:t>
      </w:r>
      <w:r w:rsidR="006D5356">
        <w:t>QA</w:t>
      </w:r>
      <w:r w:rsidRPr="000F7AD5" w:rsidR="002B557D">
        <w:t>/</w:t>
      </w:r>
      <w:r w:rsidR="006D5356">
        <w:t>QC</w:t>
      </w:r>
      <w:r w:rsidRPr="000F7AD5" w:rsidR="002B557D">
        <w:t xml:space="preserve">) </w:t>
      </w:r>
      <w:r w:rsidRPr="000F7AD5">
        <w:t xml:space="preserve">cleaning of injection molding equipment. Products such as razors will be manufactured using high-precision injection molding. </w:t>
      </w:r>
      <w:r w:rsidRPr="000F7AD5" w:rsidR="000352B7">
        <w:t xml:space="preserve">The Permittee </w:t>
      </w:r>
      <w:r w:rsidRPr="005E04EB" w:rsidR="000352B7">
        <w:t xml:space="preserve">will </w:t>
      </w:r>
      <w:r w:rsidRPr="005E04EB" w:rsidR="009A7B19">
        <w:t>do the majority of the</w:t>
      </w:r>
      <w:r w:rsidR="009A7B19">
        <w:t xml:space="preserve"> </w:t>
      </w:r>
      <w:r w:rsidRPr="006D5356" w:rsidR="006D5356">
        <w:t xml:space="preserve">injection molding equipment </w:t>
      </w:r>
      <w:r w:rsidRPr="000F7AD5">
        <w:t>cleaning mechanically with dry ice in manufacturing operations, then</w:t>
      </w:r>
      <w:r w:rsidR="00221149">
        <w:t xml:space="preserve"> will use</w:t>
      </w:r>
      <w:r w:rsidRPr="000F7AD5">
        <w:t xml:space="preserve"> isopropanol as a final cleaning step</w:t>
      </w:r>
      <w:r w:rsidR="00257F99">
        <w:t xml:space="preserve"> for </w:t>
      </w:r>
      <w:r w:rsidR="00A717BE">
        <w:t>QA/QC</w:t>
      </w:r>
      <w:r w:rsidRPr="000F7AD5">
        <w:t xml:space="preserve">. In periodic mold quality maintenance, the molds </w:t>
      </w:r>
      <w:r w:rsidRPr="000F7AD5" w:rsidR="007B48F6">
        <w:t>will be</w:t>
      </w:r>
      <w:r w:rsidRPr="000F7AD5">
        <w:t xml:space="preserve"> first cleaned with ultrasonic cleaning using an alkaline bath, followed by a final hand cleaning using isopropanol. The isopropanol </w:t>
      </w:r>
      <w:r w:rsidRPr="000F7AD5" w:rsidR="007B48F6">
        <w:t>will be</w:t>
      </w:r>
      <w:r w:rsidRPr="000F7AD5">
        <w:t xml:space="preserve"> mostly stored in squeeze and spray bottles in multiple locations</w:t>
      </w:r>
      <w:r w:rsidRPr="000F7AD5" w:rsidR="007B48F6">
        <w:t xml:space="preserve"> of the </w:t>
      </w:r>
      <w:r w:rsidRPr="000F7AD5" w:rsidR="00F71949">
        <w:t>f</w:t>
      </w:r>
      <w:r w:rsidRPr="000F7AD5" w:rsidR="007B48F6">
        <w:t>acility</w:t>
      </w:r>
      <w:r w:rsidRPr="000F7AD5">
        <w:t xml:space="preserve"> and </w:t>
      </w:r>
      <w:r w:rsidRPr="000F7AD5" w:rsidR="007B48F6">
        <w:t>will be</w:t>
      </w:r>
      <w:r w:rsidRPr="000F7AD5">
        <w:t xml:space="preserve"> primarily applied onto hand wipes for use in hand cleaning of molds and related equipment. The potential to emit </w:t>
      </w:r>
      <w:r w:rsidRPr="000F7AD5" w:rsidR="00E834D6">
        <w:t>will be</w:t>
      </w:r>
      <w:r w:rsidRPr="000F7AD5">
        <w:t xml:space="preserve"> based on isopropanol use and </w:t>
      </w:r>
      <w:r w:rsidRPr="000F7AD5" w:rsidR="007B48F6">
        <w:t>the Permittee is proposing</w:t>
      </w:r>
      <w:r w:rsidRPr="000F7AD5" w:rsidR="00584070">
        <w:t xml:space="preserve"> </w:t>
      </w:r>
      <w:r w:rsidRPr="000F7AD5">
        <w:t xml:space="preserve">1.04 </w:t>
      </w:r>
      <w:r w:rsidRPr="000F7AD5" w:rsidR="00584070">
        <w:t xml:space="preserve">tons per </w:t>
      </w:r>
      <w:r w:rsidR="00EE3913">
        <w:t>consecutive twelve-month</w:t>
      </w:r>
      <w:r w:rsidRPr="000F7AD5" w:rsidR="00A9357E">
        <w:t xml:space="preserve"> </w:t>
      </w:r>
      <w:r w:rsidRPr="000F7AD5" w:rsidR="00584070">
        <w:t>period</w:t>
      </w:r>
      <w:r w:rsidRPr="000F7AD5" w:rsidR="00BA51E6">
        <w:t xml:space="preserve"> of VOC</w:t>
      </w:r>
      <w:r w:rsidRPr="000F7AD5" w:rsidR="00B07B4A">
        <w:t xml:space="preserve"> emissions</w:t>
      </w:r>
      <w:r w:rsidRPr="000F7AD5">
        <w:t xml:space="preserve">. </w:t>
      </w:r>
      <w:r w:rsidRPr="000F7AD5" w:rsidR="00BA51E6">
        <w:t xml:space="preserve"> </w:t>
      </w:r>
      <w:r w:rsidRPr="000F7AD5" w:rsidR="00584070">
        <w:t>The proposed operations from</w:t>
      </w:r>
      <w:r w:rsidRPr="000F7AD5" w:rsidR="00F64C1F">
        <w:t xml:space="preserve"> EU28 will </w:t>
      </w:r>
      <w:r w:rsidRPr="000F7AD5" w:rsidR="00E40E58">
        <w:t xml:space="preserve">utilize </w:t>
      </w:r>
      <w:r w:rsidRPr="000F7AD5" w:rsidR="00AA2F02">
        <w:t xml:space="preserve">two Nederman arms combined into a </w:t>
      </w:r>
      <w:r w:rsidRPr="000F7AD5" w:rsidR="00E40E58">
        <w:t>single stack</w:t>
      </w:r>
      <w:r w:rsidRPr="000F7AD5" w:rsidR="00AA2F02">
        <w:t>, with a</w:t>
      </w:r>
      <w:r w:rsidRPr="000F7AD5" w:rsidR="00006E62">
        <w:t>n expected</w:t>
      </w:r>
      <w:r w:rsidRPr="000F7AD5" w:rsidR="00AA2F02">
        <w:t xml:space="preserve"> flow of 1,300</w:t>
      </w:r>
      <w:r w:rsidRPr="000F7AD5" w:rsidR="00006E62">
        <w:t xml:space="preserve"> </w:t>
      </w:r>
      <w:r w:rsidR="00221149">
        <w:t>acfm</w:t>
      </w:r>
      <w:r w:rsidRPr="000F7AD5" w:rsidR="00F102E2">
        <w:t xml:space="preserve">, </w:t>
      </w:r>
      <w:r w:rsidRPr="000F7AD5" w:rsidR="00E40E58">
        <w:t xml:space="preserve">along with exhaust from multiple pickup points in the mold shop. </w:t>
      </w:r>
    </w:p>
    <w:p w:rsidRPr="000F7AD5" w:rsidR="0028726A" w:rsidP="00730123" w:rsidRDefault="0028726A" w14:paraId="5923B43C" w14:textId="77777777"/>
    <w:p w:rsidR="00486BAB" w:rsidP="00A01275" w:rsidRDefault="00730123" w14:paraId="1AB9BB2A" w14:textId="75337E79">
      <w:r w:rsidRPr="000F7AD5">
        <w:t xml:space="preserve">EU29 </w:t>
      </w:r>
      <w:r w:rsidRPr="000F7AD5" w:rsidR="00740101">
        <w:t xml:space="preserve">will </w:t>
      </w:r>
      <w:r w:rsidRPr="000F7AD5">
        <w:t>consist</w:t>
      </w:r>
      <w:r w:rsidR="00110992">
        <w:t xml:space="preserve"> of</w:t>
      </w:r>
      <w:r w:rsidRPr="000F7AD5">
        <w:t xml:space="preserve"> </w:t>
      </w:r>
      <w:r w:rsidR="00A01275">
        <w:t xml:space="preserve">one </w:t>
      </w:r>
      <w:r w:rsidR="00343D6A">
        <w:t>razor lubricating material extrusion machine</w:t>
      </w:r>
      <w:r w:rsidR="00110992">
        <w:t xml:space="preserve">, </w:t>
      </w:r>
      <w:r w:rsidR="00343D6A">
        <w:t>one blade washer</w:t>
      </w:r>
      <w:r w:rsidR="00110992">
        <w:t xml:space="preserve">, </w:t>
      </w:r>
      <w:r w:rsidR="00343D6A">
        <w:t>three blade sharpening lines</w:t>
      </w:r>
      <w:r w:rsidR="00A011A1">
        <w:t xml:space="preserve">, </w:t>
      </w:r>
      <w:r w:rsidR="00343D6A">
        <w:t>one blade sharpening oil filtration system</w:t>
      </w:r>
      <w:r w:rsidR="00A011A1">
        <w:t xml:space="preserve">, </w:t>
      </w:r>
      <w:r w:rsidR="00074A7E">
        <w:t>o</w:t>
      </w:r>
      <w:r w:rsidR="00A01275">
        <w:t xml:space="preserve">ne </w:t>
      </w:r>
      <w:r w:rsidR="00BA268F">
        <w:t>b</w:t>
      </w:r>
      <w:r w:rsidRPr="00BA268F" w:rsidR="00BA268F">
        <w:t xml:space="preserve">lade </w:t>
      </w:r>
      <w:r w:rsidR="00BA268F">
        <w:t>f</w:t>
      </w:r>
      <w:r w:rsidRPr="00BA268F" w:rsidR="00BA268F">
        <w:t xml:space="preserve">inal </w:t>
      </w:r>
      <w:r w:rsidR="00BA268F">
        <w:t>q</w:t>
      </w:r>
      <w:r w:rsidRPr="00BA268F" w:rsidR="00BA268F">
        <w:t xml:space="preserve">uality </w:t>
      </w:r>
      <w:r w:rsidR="00BA268F">
        <w:t>t</w:t>
      </w:r>
      <w:r w:rsidRPr="00BA268F" w:rsidR="00BA268F">
        <w:t xml:space="preserve">reatment </w:t>
      </w:r>
      <w:r w:rsidR="00BA268F">
        <w:t>o</w:t>
      </w:r>
      <w:r w:rsidRPr="00BA268F" w:rsidR="00BA268F">
        <w:t>peration</w:t>
      </w:r>
      <w:r w:rsidR="00BA268F">
        <w:t xml:space="preserve"> </w:t>
      </w:r>
      <w:r w:rsidR="00A01275">
        <w:t>1</w:t>
      </w:r>
      <w:r w:rsidR="00D65217">
        <w:t>,</w:t>
      </w:r>
      <w:r w:rsidR="00486BAB">
        <w:t xml:space="preserve"> and</w:t>
      </w:r>
      <w:r w:rsidR="00D65217">
        <w:t xml:space="preserve"> </w:t>
      </w:r>
      <w:r w:rsidR="00486BAB">
        <w:t>o</w:t>
      </w:r>
      <w:r w:rsidR="00A01275">
        <w:t xml:space="preserve">ne </w:t>
      </w:r>
      <w:r w:rsidR="00343D6A">
        <w:t>b</w:t>
      </w:r>
      <w:r w:rsidRPr="00BA268F" w:rsidR="00BA268F">
        <w:t xml:space="preserve">lade </w:t>
      </w:r>
      <w:r w:rsidR="00BA268F">
        <w:t>f</w:t>
      </w:r>
      <w:r w:rsidRPr="00BA268F" w:rsidR="00BA268F">
        <w:t xml:space="preserve">inal </w:t>
      </w:r>
      <w:r w:rsidR="00BA268F">
        <w:t>q</w:t>
      </w:r>
      <w:r w:rsidRPr="00BA268F" w:rsidR="00BA268F">
        <w:t xml:space="preserve">uality </w:t>
      </w:r>
      <w:r w:rsidR="00BA268F">
        <w:t>t</w:t>
      </w:r>
      <w:r w:rsidRPr="00BA268F" w:rsidR="00BA268F">
        <w:t xml:space="preserve">reatment </w:t>
      </w:r>
      <w:r w:rsidR="00BA268F">
        <w:t>o</w:t>
      </w:r>
      <w:r w:rsidRPr="00BA268F" w:rsidR="00BA268F">
        <w:t>peration</w:t>
      </w:r>
      <w:r w:rsidR="00A01275">
        <w:t xml:space="preserve"> 2</w:t>
      </w:r>
      <w:r w:rsidRPr="000F7AD5" w:rsidR="00CC6D32">
        <w:t>.</w:t>
      </w:r>
    </w:p>
    <w:p w:rsidR="00486BAB" w:rsidP="00A01275" w:rsidRDefault="00486BAB" w14:paraId="528AFFA8" w14:textId="77777777"/>
    <w:p w:rsidR="00730123" w:rsidP="00A01275" w:rsidRDefault="00AB51DD" w14:paraId="0BCCA3B5" w14:textId="55142136">
      <w:r>
        <w:t>These</w:t>
      </w:r>
      <w:r w:rsidR="00D86BE7">
        <w:t xml:space="preserve"> operations will </w:t>
      </w:r>
      <w:r w:rsidR="00FB3F14">
        <w:t>emit</w:t>
      </w:r>
      <w:r w:rsidRPr="000F7AD5" w:rsidR="00730123">
        <w:t xml:space="preserve"> small amounts of lubricating oil mist droplets, small amounts of VOC and</w:t>
      </w:r>
      <w:r w:rsidRPr="00E4031F" w:rsidR="008F4799">
        <w:t xml:space="preserve"> </w:t>
      </w:r>
      <w:r w:rsidRPr="00E4031F" w:rsidR="00730123">
        <w:t>PM</w:t>
      </w:r>
      <w:r w:rsidRPr="00E4031F" w:rsidR="009143D9">
        <w:rPr>
          <w:vertAlign w:val="subscript"/>
        </w:rPr>
        <w:t>2.5</w:t>
      </w:r>
      <w:r w:rsidRPr="008D3958" w:rsidR="00730123">
        <w:t xml:space="preserve"> </w:t>
      </w:r>
      <w:r w:rsidRPr="00E4031F" w:rsidR="00730123">
        <w:t>from</w:t>
      </w:r>
      <w:r w:rsidRPr="000F7AD5" w:rsidR="00730123">
        <w:t xml:space="preserve"> various blade treatments, and small amounts of VOC from application of a razor lubricating material. The </w:t>
      </w:r>
      <w:r w:rsidRPr="000F7AD5" w:rsidR="00B42C4A">
        <w:t xml:space="preserve">Permittee is proposing </w:t>
      </w:r>
      <w:r w:rsidRPr="000F7AD5" w:rsidR="00730123">
        <w:t xml:space="preserve">0.6 </w:t>
      </w:r>
      <w:r w:rsidRPr="000F7AD5" w:rsidR="00AE5A15">
        <w:t xml:space="preserve">tons per </w:t>
      </w:r>
      <w:r w:rsidR="009F47D0">
        <w:t xml:space="preserve">consecutive </w:t>
      </w:r>
      <w:r w:rsidRPr="000F7AD5" w:rsidR="006D2B60">
        <w:t>twelve</w:t>
      </w:r>
      <w:r w:rsidRPr="000F7AD5" w:rsidR="00AE5A15">
        <w:t xml:space="preserve">-month period of </w:t>
      </w:r>
      <w:r w:rsidRPr="000F7AD5" w:rsidR="00730123">
        <w:t xml:space="preserve">VOC and 1.12 </w:t>
      </w:r>
      <w:r w:rsidRPr="000F7AD5" w:rsidR="00AE5A15">
        <w:t xml:space="preserve">tons per </w:t>
      </w:r>
      <w:r w:rsidR="00541593">
        <w:t>consecutive</w:t>
      </w:r>
      <w:r w:rsidRPr="000F7AD5" w:rsidR="00AE5A15">
        <w:t xml:space="preserve"> </w:t>
      </w:r>
      <w:r w:rsidRPr="000F7AD5" w:rsidR="006D2B60">
        <w:t>twelve-</w:t>
      </w:r>
      <w:r w:rsidRPr="000F7AD5" w:rsidR="00AE5A15">
        <w:t xml:space="preserve">month period </w:t>
      </w:r>
      <w:r w:rsidRPr="00E4031F" w:rsidR="00AE5A15">
        <w:t xml:space="preserve">of </w:t>
      </w:r>
      <w:r w:rsidRPr="00E4031F" w:rsidR="00730123">
        <w:t>PM</w:t>
      </w:r>
      <w:r w:rsidRPr="00E4031F" w:rsidR="009143D9">
        <w:rPr>
          <w:vertAlign w:val="subscript"/>
        </w:rPr>
        <w:t>2.5</w:t>
      </w:r>
      <w:r w:rsidRPr="009143D9" w:rsidR="00C5459B">
        <w:rPr>
          <w:vertAlign w:val="subscript"/>
        </w:rPr>
        <w:t xml:space="preserve"> </w:t>
      </w:r>
      <w:r w:rsidRPr="000F7AD5" w:rsidR="00C5459B">
        <w:t>for these operations</w:t>
      </w:r>
      <w:r w:rsidRPr="000F7AD5" w:rsidR="00730123">
        <w:t xml:space="preserve">. The various processes comprised by EU29 </w:t>
      </w:r>
      <w:r w:rsidRPr="000F7AD5" w:rsidR="006375B7">
        <w:t xml:space="preserve">will </w:t>
      </w:r>
      <w:r w:rsidRPr="000F7AD5" w:rsidR="00730123">
        <w:t>occur in different locations around the facility and there will be both stack and fugitive emissions associated with these processes.</w:t>
      </w:r>
    </w:p>
    <w:p w:rsidR="00845018" w:rsidP="00730123" w:rsidRDefault="00845018" w14:paraId="5E8E2001" w14:textId="77777777"/>
    <w:p w:rsidR="00D10F6A" w:rsidP="00730123" w:rsidRDefault="006C04C7" w14:paraId="003B75E4" w14:textId="7001C92E">
      <w:r w:rsidRPr="006C04C7">
        <w:t>The</w:t>
      </w:r>
      <w:r w:rsidR="004930BF">
        <w:t xml:space="preserve"> Permittee </w:t>
      </w:r>
      <w:r w:rsidR="00A12DEF">
        <w:t xml:space="preserve">has also indicated that some </w:t>
      </w:r>
      <w:r w:rsidRPr="006C04C7">
        <w:t xml:space="preserve">equipment will be part of the proposed project but </w:t>
      </w:r>
      <w:r w:rsidR="004930BF">
        <w:t>will</w:t>
      </w:r>
      <w:r w:rsidR="00FA5AF7">
        <w:t xml:space="preserve"> </w:t>
      </w:r>
      <w:r w:rsidR="009E2E3D">
        <w:t>not be included as emission units</w:t>
      </w:r>
      <w:r w:rsidRPr="006C04C7">
        <w:t xml:space="preserve"> in this</w:t>
      </w:r>
      <w:r w:rsidR="001563CB">
        <w:t xml:space="preserve"> </w:t>
      </w:r>
      <w:r w:rsidR="00BC366B">
        <w:t>p</w:t>
      </w:r>
      <w:r w:rsidR="001563CB">
        <w:t xml:space="preserve">lan </w:t>
      </w:r>
      <w:r w:rsidR="00BC366B">
        <w:t>application</w:t>
      </w:r>
      <w:r w:rsidRPr="006C04C7">
        <w:t xml:space="preserve"> because they are exempt from permitting</w:t>
      </w:r>
      <w:r w:rsidR="009E2E3D">
        <w:t>.</w:t>
      </w:r>
      <w:r w:rsidR="007E79E0">
        <w:t xml:space="preserve"> T</w:t>
      </w:r>
      <w:r w:rsidR="00BA51DE">
        <w:t xml:space="preserve">he proposed </w:t>
      </w:r>
      <w:r w:rsidR="007E79E0">
        <w:t>exempted equipment include:</w:t>
      </w:r>
      <w:r w:rsidR="00BC366B">
        <w:t xml:space="preserve"> e</w:t>
      </w:r>
      <w:r w:rsidR="007929D7">
        <w:t>ight p</w:t>
      </w:r>
      <w:r w:rsidR="00DC3183">
        <w:t>lastic injection molding, exempt under</w:t>
      </w:r>
      <w:r w:rsidRPr="006C04C7">
        <w:t xml:space="preserve"> 310 CMR 7.02(2)(b)</w:t>
      </w:r>
      <w:r w:rsidR="000E16D8">
        <w:t>19</w:t>
      </w:r>
      <w:r w:rsidR="009B7CA4">
        <w:t>;</w:t>
      </w:r>
      <w:r w:rsidR="00DC3183">
        <w:t xml:space="preserve"> </w:t>
      </w:r>
      <w:r w:rsidR="00BC366B">
        <w:t>o</w:t>
      </w:r>
      <w:r w:rsidR="009B7CA4">
        <w:t xml:space="preserve">ne three-cell </w:t>
      </w:r>
      <w:r w:rsidR="00DC3183">
        <w:t xml:space="preserve">cooling tower, exempt under </w:t>
      </w:r>
      <w:r w:rsidR="00AF498F">
        <w:t xml:space="preserve">310 CMR </w:t>
      </w:r>
      <w:r w:rsidR="00DC3183">
        <w:t>7.02(2)</w:t>
      </w:r>
      <w:r w:rsidR="000E16D8">
        <w:t>6</w:t>
      </w:r>
      <w:r w:rsidR="009B7CA4">
        <w:t>;</w:t>
      </w:r>
      <w:r w:rsidR="00BC366B">
        <w:t xml:space="preserve"> and </w:t>
      </w:r>
      <w:r w:rsidR="004B62F1">
        <w:t xml:space="preserve">two </w:t>
      </w:r>
      <w:r w:rsidR="00480D8B">
        <w:t>QA/QC</w:t>
      </w:r>
      <w:r w:rsidR="000E0AF2">
        <w:t xml:space="preserve"> Lab hoods, exempt under </w:t>
      </w:r>
      <w:r w:rsidR="00AF498F">
        <w:t xml:space="preserve">310 CMR </w:t>
      </w:r>
      <w:r w:rsidR="000E0AF2">
        <w:t>7.02(2)(b)16</w:t>
      </w:r>
      <w:r w:rsidR="004B62F1">
        <w:t>.</w:t>
      </w:r>
    </w:p>
    <w:p w:rsidR="009B7CA4" w:rsidP="00730123" w:rsidRDefault="009B7CA4" w14:paraId="304670DC" w14:textId="77777777"/>
    <w:p w:rsidR="00A12DEF" w:rsidP="00730123" w:rsidRDefault="006A06FE" w14:paraId="025B6660" w14:textId="77487680">
      <w:r>
        <w:t xml:space="preserve">The Permittee is also proposing to install two </w:t>
      </w:r>
      <w:r w:rsidR="00970745">
        <w:t xml:space="preserve">diesel </w:t>
      </w:r>
      <w:r>
        <w:t>fire pumps</w:t>
      </w:r>
      <w:r w:rsidR="001573D6">
        <w:t xml:space="preserve"> and one diesel emergency</w:t>
      </w:r>
      <w:r w:rsidR="006C0E00">
        <w:t xml:space="preserve"> engine</w:t>
      </w:r>
      <w:r w:rsidR="001573D6">
        <w:t xml:space="preserve"> which </w:t>
      </w:r>
      <w:r w:rsidR="006F2CE6">
        <w:t>will</w:t>
      </w:r>
      <w:r w:rsidRPr="009C6950" w:rsidR="001573D6">
        <w:t xml:space="preserve"> not</w:t>
      </w:r>
      <w:r w:rsidR="00271BAF">
        <w:t xml:space="preserve"> be</w:t>
      </w:r>
      <w:r w:rsidRPr="009C6950" w:rsidR="001573D6">
        <w:t xml:space="preserve"> considered emission units as part of this plan application</w:t>
      </w:r>
      <w:r w:rsidR="001573D6">
        <w:t xml:space="preserve"> </w:t>
      </w:r>
      <w:r w:rsidR="00A12DEF">
        <w:t>but</w:t>
      </w:r>
      <w:r w:rsidR="001573D6">
        <w:t xml:space="preserve"> will be subject to Environmental Results Program (ERP) certification</w:t>
      </w:r>
      <w:r w:rsidR="00143F31">
        <w:t xml:space="preserve"> under</w:t>
      </w:r>
      <w:r w:rsidR="00AF498F">
        <w:t xml:space="preserve"> 310 CMR</w:t>
      </w:r>
      <w:r w:rsidR="002B4446">
        <w:t xml:space="preserve"> 7.26(42)</w:t>
      </w:r>
      <w:r w:rsidRPr="006C04C7" w:rsidR="001573D6">
        <w:t xml:space="preserve">.  </w:t>
      </w:r>
    </w:p>
    <w:p w:rsidR="00A12DEF" w:rsidP="00730123" w:rsidRDefault="00A12DEF" w14:paraId="044E1050" w14:textId="77777777"/>
    <w:p w:rsidR="009D7A23" w:rsidP="00730123" w:rsidRDefault="001573D6" w14:paraId="4F77138E" w14:textId="75920090">
      <w:r>
        <w:t>A</w:t>
      </w:r>
      <w:r w:rsidR="00D51644">
        <w:t>ll</w:t>
      </w:r>
      <w:r>
        <w:t xml:space="preserve"> emissions related to these </w:t>
      </w:r>
      <w:r w:rsidRPr="00593FB0">
        <w:t xml:space="preserve">exempt </w:t>
      </w:r>
      <w:r w:rsidR="00F50DE8">
        <w:t>sources</w:t>
      </w:r>
      <w:r w:rsidR="00D51644">
        <w:t xml:space="preserve"> as well as</w:t>
      </w:r>
      <w:r w:rsidR="00FD74F6">
        <w:t xml:space="preserve"> any insignificant sources</w:t>
      </w:r>
      <w:r>
        <w:t xml:space="preserve"> will be included in</w:t>
      </w:r>
      <w:r w:rsidR="00EC63AD">
        <w:t xml:space="preserve"> the</w:t>
      </w:r>
      <w:r w:rsidRPr="00593FB0">
        <w:t xml:space="preserve"> Facility-wide emission limits</w:t>
      </w:r>
      <w:r>
        <w:t xml:space="preserve"> as shown on Table 2 below</w:t>
      </w:r>
      <w:r w:rsidR="00BA51DE">
        <w:t xml:space="preserve">. </w:t>
      </w:r>
    </w:p>
    <w:p w:rsidRPr="000F7AD5" w:rsidR="00165006" w:rsidP="00730123" w:rsidRDefault="00165006" w14:paraId="403ABDD7" w14:textId="77777777"/>
    <w:p w:rsidRPr="000F7AD5" w:rsidR="00DF6F70" w:rsidP="00DF6F70" w:rsidRDefault="007B0C73" w14:paraId="074396AE" w14:textId="5D560D79">
      <w:pPr>
        <w:autoSpaceDE w:val="0"/>
        <w:autoSpaceDN w:val="0"/>
        <w:adjustRightInd w:val="0"/>
        <w:rPr>
          <w:color w:val="000000"/>
        </w:rPr>
      </w:pPr>
      <w:r w:rsidRPr="000F7AD5">
        <w:rPr>
          <w:color w:val="000000"/>
        </w:rPr>
        <w:t xml:space="preserve">Furthermore, the Permittee </w:t>
      </w:r>
      <w:r w:rsidRPr="000F7AD5" w:rsidR="00767069">
        <w:rPr>
          <w:color w:val="000000"/>
        </w:rPr>
        <w:t>states that both the existing EU26 and the new EU</w:t>
      </w:r>
      <w:r w:rsidRPr="000F7AD5" w:rsidR="008A2BBA">
        <w:rPr>
          <w:color w:val="000000"/>
        </w:rPr>
        <w:t xml:space="preserve">28 </w:t>
      </w:r>
      <w:r w:rsidRPr="000F7AD5" w:rsidR="00CD62C4">
        <w:rPr>
          <w:color w:val="000000"/>
        </w:rPr>
        <w:t xml:space="preserve">operations are exempt from </w:t>
      </w:r>
      <w:r w:rsidRPr="00424EFD" w:rsidR="00424EFD">
        <w:rPr>
          <w:color w:val="000000"/>
        </w:rPr>
        <w:t xml:space="preserve">Reasonably Available Control Technology </w:t>
      </w:r>
      <w:r w:rsidR="00424EFD">
        <w:rPr>
          <w:color w:val="000000"/>
        </w:rPr>
        <w:t>(</w:t>
      </w:r>
      <w:r w:rsidRPr="000F7AD5" w:rsidR="00CD62C4">
        <w:rPr>
          <w:color w:val="000000"/>
        </w:rPr>
        <w:t>RACT</w:t>
      </w:r>
      <w:r w:rsidR="00424EFD">
        <w:rPr>
          <w:color w:val="000000"/>
        </w:rPr>
        <w:t>)</w:t>
      </w:r>
      <w:r w:rsidRPr="000F7AD5" w:rsidR="00CD62C4">
        <w:rPr>
          <w:color w:val="000000"/>
        </w:rPr>
        <w:t xml:space="preserve"> requirements under </w:t>
      </w:r>
      <w:r w:rsidRPr="00BD1DAB" w:rsidR="003C1F7D">
        <w:rPr>
          <w:color w:val="000000"/>
        </w:rPr>
        <w:t>310 CMR 7.18(31)(b)(1)</w:t>
      </w:r>
      <w:r w:rsidRPr="00BD1DAB" w:rsidR="005C7E72">
        <w:rPr>
          <w:color w:val="000000"/>
        </w:rPr>
        <w:t>d.iv</w:t>
      </w:r>
      <w:r w:rsidRPr="000F7AD5" w:rsidR="00BA4825">
        <w:rPr>
          <w:color w:val="000000"/>
        </w:rPr>
        <w:t>:</w:t>
      </w:r>
      <w:r w:rsidRPr="000F7AD5" w:rsidR="00677529">
        <w:rPr>
          <w:color w:val="000000"/>
        </w:rPr>
        <w:t xml:space="preserve"> </w:t>
      </w:r>
      <w:r w:rsidRPr="000F7AD5" w:rsidR="008E100F">
        <w:rPr>
          <w:color w:val="000000"/>
        </w:rPr>
        <w:t>c</w:t>
      </w:r>
      <w:r w:rsidRPr="000F7AD5" w:rsidR="00677529">
        <w:rPr>
          <w:color w:val="000000"/>
        </w:rPr>
        <w:t xml:space="preserve">leaning </w:t>
      </w:r>
      <w:r w:rsidRPr="000F7AD5" w:rsidR="008E100F">
        <w:rPr>
          <w:color w:val="000000"/>
        </w:rPr>
        <w:t>c</w:t>
      </w:r>
      <w:r w:rsidRPr="000F7AD5" w:rsidR="00677529">
        <w:rPr>
          <w:color w:val="000000"/>
        </w:rPr>
        <w:t xml:space="preserve">onducted </w:t>
      </w:r>
      <w:r w:rsidRPr="000F7AD5" w:rsidR="00782A08">
        <w:rPr>
          <w:color w:val="000000"/>
        </w:rPr>
        <w:t xml:space="preserve">as </w:t>
      </w:r>
      <w:r w:rsidRPr="000F7AD5" w:rsidR="00BA4825">
        <w:rPr>
          <w:color w:val="000000"/>
        </w:rPr>
        <w:t>p</w:t>
      </w:r>
      <w:r w:rsidRPr="000F7AD5" w:rsidR="00782A08">
        <w:rPr>
          <w:color w:val="000000"/>
        </w:rPr>
        <w:t xml:space="preserve">art of </w:t>
      </w:r>
      <w:r w:rsidR="00BD1DAB">
        <w:rPr>
          <w:color w:val="000000"/>
        </w:rPr>
        <w:t xml:space="preserve">quality assurance </w:t>
      </w:r>
      <w:r w:rsidRPr="000F7AD5" w:rsidR="00782A08">
        <w:rPr>
          <w:color w:val="000000"/>
        </w:rPr>
        <w:t>/</w:t>
      </w:r>
      <w:r w:rsidR="002E4395">
        <w:rPr>
          <w:color w:val="000000"/>
        </w:rPr>
        <w:t xml:space="preserve"> </w:t>
      </w:r>
      <w:r w:rsidR="00BD1DAB">
        <w:rPr>
          <w:color w:val="000000"/>
        </w:rPr>
        <w:t>quality control</w:t>
      </w:r>
      <w:r w:rsidRPr="000F7AD5" w:rsidR="00782A08">
        <w:rPr>
          <w:color w:val="000000"/>
        </w:rPr>
        <w:t xml:space="preserve"> cleaning activities in manufacturing processes</w:t>
      </w:r>
      <w:r w:rsidRPr="000F7AD5" w:rsidR="005C7E72">
        <w:rPr>
          <w:color w:val="000000"/>
        </w:rPr>
        <w:t xml:space="preserve">. </w:t>
      </w:r>
    </w:p>
    <w:p w:rsidRPr="000F7AD5" w:rsidR="008A14F8" w:rsidP="00DF6F70" w:rsidRDefault="008A14F8" w14:paraId="0077A40D" w14:textId="77777777">
      <w:pPr>
        <w:autoSpaceDE w:val="0"/>
        <w:autoSpaceDN w:val="0"/>
        <w:adjustRightInd w:val="0"/>
        <w:rPr>
          <w:color w:val="000000"/>
        </w:rPr>
      </w:pPr>
    </w:p>
    <w:p w:rsidRPr="000F7AD5" w:rsidR="00DF6F70" w:rsidP="00DF6F70" w:rsidRDefault="00DF6F70" w14:paraId="3DC341DC" w14:textId="77777777">
      <w:pPr>
        <w:rPr>
          <w:u w:val="single"/>
        </w:rPr>
      </w:pPr>
    </w:p>
    <w:p w:rsidRPr="000F7AD5" w:rsidR="00DF6F70" w:rsidP="00B145CC" w:rsidRDefault="00DF6F70" w14:paraId="06C269E5" w14:textId="77777777">
      <w:pPr>
        <w:numPr>
          <w:ilvl w:val="0"/>
          <w:numId w:val="8"/>
        </w:numPr>
        <w:spacing w:line="276" w:lineRule="auto"/>
        <w:contextualSpacing/>
        <w:rPr>
          <w:rFonts w:eastAsia="Calibri"/>
          <w:szCs w:val="22"/>
          <w:u w:val="single"/>
        </w:rPr>
      </w:pPr>
      <w:r w:rsidRPr="000F7AD5">
        <w:rPr>
          <w:rFonts w:eastAsia="Calibri"/>
          <w:szCs w:val="22"/>
          <w:u w:val="single"/>
        </w:rPr>
        <w:t>REGULATORY REQUIREMENTS</w:t>
      </w:r>
    </w:p>
    <w:p w:rsidRPr="000F7AD5" w:rsidR="00DF6F70" w:rsidP="00DF6F70" w:rsidRDefault="00DF6F70" w14:paraId="6B6528EA" w14:textId="77777777">
      <w:pPr>
        <w:rPr>
          <w:bCs/>
        </w:rPr>
      </w:pPr>
    </w:p>
    <w:p w:rsidRPr="000F7AD5" w:rsidR="00DF6F70" w:rsidP="00DF6F70" w:rsidRDefault="00DF6F70" w14:paraId="22DF9817" w14:textId="77777777">
      <w:pPr>
        <w:rPr>
          <w:b/>
        </w:rPr>
      </w:pPr>
      <w:r w:rsidRPr="000F7AD5">
        <w:rPr>
          <w:b/>
        </w:rPr>
        <w:t>1.  State Requirements</w:t>
      </w:r>
    </w:p>
    <w:p w:rsidRPr="000F7AD5" w:rsidR="00DF6F70" w:rsidP="00DF6F70" w:rsidRDefault="00DF6F70" w14:paraId="76DA603A" w14:textId="77777777"/>
    <w:p w:rsidRPr="000F7AD5" w:rsidR="00DF6F70" w:rsidP="00DF6F70" w:rsidRDefault="00DF6F70" w14:paraId="32AA81EA" w14:textId="77777777">
      <w:pPr>
        <w:rPr>
          <w:i/>
          <w:iCs/>
        </w:rPr>
      </w:pPr>
      <w:r w:rsidRPr="000F7AD5">
        <w:rPr>
          <w:i/>
          <w:iCs/>
        </w:rPr>
        <w:t>Best Available Control Technology (BACT)</w:t>
      </w:r>
    </w:p>
    <w:p w:rsidRPr="000F7AD5" w:rsidR="00DF6F70" w:rsidP="00DF6F70" w:rsidRDefault="00DF6F70" w14:paraId="5246B6C3" w14:textId="77777777"/>
    <w:p w:rsidR="00FE151D" w:rsidP="00DF6F70" w:rsidRDefault="00DF6F70" w14:paraId="175D4B75" w14:textId="1FB724E5">
      <w:r w:rsidRPr="000F7AD5">
        <w:t>MassDEP has determined that the emission limits in Table 2 below are considered BACT for the proposed equipment.</w:t>
      </w:r>
    </w:p>
    <w:p w:rsidR="00E3441D" w:rsidP="00DF6F70" w:rsidRDefault="00E3441D" w14:paraId="6FC166B4" w14:textId="77777777"/>
    <w:p w:rsidRPr="000F7AD5" w:rsidR="00E3441D" w:rsidP="00DF6F70" w:rsidRDefault="00FB0BB6" w14:paraId="62251D81" w14:textId="33BF9519">
      <w:r>
        <w:t xml:space="preserve">The Permittee shall comply with the </w:t>
      </w:r>
      <w:r w:rsidRPr="00E3441D" w:rsidR="00E3441D">
        <w:t xml:space="preserve">operational requirements in </w:t>
      </w:r>
      <w:r w:rsidR="00307197">
        <w:t xml:space="preserve">310 CMR </w:t>
      </w:r>
      <w:r w:rsidRPr="00E3441D" w:rsidR="00E3441D">
        <w:t>7.26 (42)(d), the certification requirement in 7.26 (42)(e)1, and the recordkeeping requirements in 7.26(42)(f).</w:t>
      </w:r>
    </w:p>
    <w:p w:rsidR="00FE151D" w:rsidP="00DF6F70" w:rsidRDefault="00FE151D" w14:paraId="1EEAE83B" w14:textId="77777777"/>
    <w:p w:rsidR="00DF6F70" w:rsidP="00DF6F70" w:rsidRDefault="00164DD4" w14:paraId="52235C2E" w14:textId="3EFD9D79">
      <w:r>
        <w:lastRenderedPageBreak/>
        <w:t>T</w:t>
      </w:r>
      <w:r w:rsidRPr="00AD023D" w:rsidR="00AD023D">
        <w:t>he Permittee has indicated that</w:t>
      </w:r>
      <w:r w:rsidR="00560832">
        <w:t>,</w:t>
      </w:r>
      <w:r w:rsidRPr="00AD023D" w:rsidR="00AD023D">
        <w:t xml:space="preserve"> </w:t>
      </w:r>
      <w:r w:rsidR="003A73A2">
        <w:t xml:space="preserve">although </w:t>
      </w:r>
      <w:r w:rsidRPr="00AD023D" w:rsidR="00AD023D">
        <w:t xml:space="preserve">the </w:t>
      </w:r>
      <w:r w:rsidR="00BF7744">
        <w:t>f</w:t>
      </w:r>
      <w:r w:rsidRPr="00AD023D" w:rsidR="00AD023D">
        <w:t>acility</w:t>
      </w:r>
      <w:r w:rsidR="003A73A2">
        <w:t xml:space="preserve"> use</w:t>
      </w:r>
      <w:r w:rsidR="003724E7">
        <w:t>s</w:t>
      </w:r>
      <w:r w:rsidR="00A265BB">
        <w:t xml:space="preserve"> industrial cleaning solvents</w:t>
      </w:r>
      <w:r w:rsidR="00ED0603">
        <w:t xml:space="preserve">, it is not associated with any specific operations </w:t>
      </w:r>
      <w:r w:rsidR="00F777C7">
        <w:t>or emission units proposed in this plan application.</w:t>
      </w:r>
      <w:r w:rsidR="00E41717">
        <w:t xml:space="preserve"> </w:t>
      </w:r>
      <w:r w:rsidRPr="00E41717" w:rsidR="00E41717">
        <w:t>310 CMR 7.18(31) shall not apply as</w:t>
      </w:r>
      <w:r w:rsidR="00B071A2">
        <w:t xml:space="preserve"> the </w:t>
      </w:r>
      <w:r w:rsidR="005A630C">
        <w:t>Permittee intends to emi</w:t>
      </w:r>
      <w:r w:rsidR="00673C5E">
        <w:t>t</w:t>
      </w:r>
      <w:r w:rsidRPr="00AD023D" w:rsidR="00AD023D">
        <w:t xml:space="preserve"> less than three tons of VOC per rolling 12-month period from </w:t>
      </w:r>
      <w:r w:rsidR="005A630C">
        <w:t xml:space="preserve">the usage of </w:t>
      </w:r>
      <w:r w:rsidRPr="00AD023D" w:rsidR="00AD023D">
        <w:t>industrial cleaning solvents.</w:t>
      </w:r>
    </w:p>
    <w:p w:rsidR="00175DD5" w:rsidP="00DF6F70" w:rsidRDefault="00175DD5" w14:paraId="28AC43DF" w14:textId="77777777"/>
    <w:p w:rsidR="00673C5E" w:rsidP="00DF6F70" w:rsidRDefault="00673C5E" w14:paraId="46387194" w14:textId="77777777"/>
    <w:p w:rsidRPr="000F7AD5" w:rsidR="00DF6F70" w:rsidP="00DF6F70" w:rsidRDefault="00DF6F70" w14:paraId="31943CAF" w14:textId="2D782160">
      <w:pPr>
        <w:rPr>
          <w:b/>
        </w:rPr>
      </w:pPr>
      <w:r w:rsidRPr="000F7AD5">
        <w:rPr>
          <w:b/>
        </w:rPr>
        <w:t>2.  Federal Requirements</w:t>
      </w:r>
    </w:p>
    <w:p w:rsidRPr="000F7AD5" w:rsidR="00DF6F70" w:rsidP="00DF6F70" w:rsidRDefault="00DF6F70" w14:paraId="1EE8D59A" w14:textId="77777777"/>
    <w:p w:rsidR="00F259DA" w:rsidP="009B5728" w:rsidRDefault="00DF6F70" w14:paraId="6C95D0B7" w14:textId="77777777">
      <w:pPr>
        <w:tabs>
          <w:tab w:val="left" w:pos="-720"/>
          <w:tab w:val="left" w:pos="0"/>
        </w:tabs>
        <w:suppressAutoHyphens/>
        <w:jc w:val="both"/>
        <w:rPr>
          <w:rFonts w:eastAsia="Calibri"/>
          <w:spacing w:val="-3"/>
        </w:rPr>
      </w:pPr>
      <w:r w:rsidRPr="000F7AD5">
        <w:rPr>
          <w:rFonts w:eastAsia="Calibri"/>
          <w:spacing w:val="-3"/>
        </w:rPr>
        <w:t xml:space="preserve">The Permittee has four (4) </w:t>
      </w:r>
      <w:r w:rsidR="00316364">
        <w:rPr>
          <w:rFonts w:eastAsia="Calibri"/>
          <w:spacing w:val="-3"/>
        </w:rPr>
        <w:t xml:space="preserve">existing </w:t>
      </w:r>
      <w:r w:rsidRPr="000F7AD5">
        <w:rPr>
          <w:rFonts w:eastAsia="Calibri"/>
          <w:spacing w:val="-3"/>
        </w:rPr>
        <w:t xml:space="preserve">stationary reciprocating internal combustion engines (RICE) that may be subject to the Federal National Emissions Standards for Hazardous Air Pollutants (NESHAP) for Stationary Reciprocating Internal Combustion Engines (RICE) under 40 CFR Part 63 Subpart ZZZZ. </w:t>
      </w:r>
    </w:p>
    <w:p w:rsidR="00F259DA" w:rsidP="009B5728" w:rsidRDefault="00F259DA" w14:paraId="03BE4688" w14:textId="77777777">
      <w:pPr>
        <w:tabs>
          <w:tab w:val="left" w:pos="-720"/>
          <w:tab w:val="left" w:pos="0"/>
        </w:tabs>
        <w:suppressAutoHyphens/>
        <w:jc w:val="both"/>
        <w:rPr>
          <w:rFonts w:eastAsia="Calibri"/>
          <w:spacing w:val="-3"/>
        </w:rPr>
      </w:pPr>
    </w:p>
    <w:p w:rsidR="00C62FDA" w:rsidP="009B5728" w:rsidRDefault="00B4553D" w14:paraId="6F662935" w14:textId="04F9ADBC">
      <w:pPr>
        <w:tabs>
          <w:tab w:val="left" w:pos="-720"/>
          <w:tab w:val="left" w:pos="0"/>
        </w:tabs>
        <w:suppressAutoHyphens/>
        <w:jc w:val="both"/>
        <w:rPr>
          <w:rFonts w:eastAsia="Calibri"/>
          <w:spacing w:val="-3"/>
        </w:rPr>
      </w:pPr>
      <w:r>
        <w:rPr>
          <w:rFonts w:eastAsia="Calibri"/>
          <w:spacing w:val="-3"/>
        </w:rPr>
        <w:t>In addition, t</w:t>
      </w:r>
      <w:r w:rsidRPr="008E1480" w:rsidR="000A5775">
        <w:rPr>
          <w:rFonts w:eastAsia="Calibri"/>
          <w:spacing w:val="-3"/>
        </w:rPr>
        <w:t xml:space="preserve">he Permittee </w:t>
      </w:r>
      <w:r w:rsidR="000941BF">
        <w:rPr>
          <w:rFonts w:eastAsia="Calibri"/>
          <w:spacing w:val="-3"/>
        </w:rPr>
        <w:t>h</w:t>
      </w:r>
      <w:r>
        <w:rPr>
          <w:rFonts w:eastAsia="Calibri"/>
          <w:spacing w:val="-3"/>
        </w:rPr>
        <w:t>as</w:t>
      </w:r>
      <w:r w:rsidR="00285E31">
        <w:rPr>
          <w:rFonts w:eastAsia="Calibri"/>
          <w:spacing w:val="-3"/>
        </w:rPr>
        <w:t xml:space="preserve"> proposed to install</w:t>
      </w:r>
      <w:r w:rsidRPr="008E1480" w:rsidR="00F82135">
        <w:rPr>
          <w:rFonts w:eastAsia="Calibri"/>
          <w:spacing w:val="-3"/>
        </w:rPr>
        <w:t xml:space="preserve"> two diesel fire pumps and one diesel emergency engine </w:t>
      </w:r>
      <w:r w:rsidR="0005091F">
        <w:rPr>
          <w:rFonts w:eastAsia="Calibri"/>
          <w:spacing w:val="-3"/>
        </w:rPr>
        <w:t xml:space="preserve">that </w:t>
      </w:r>
      <w:r w:rsidR="00520095">
        <w:rPr>
          <w:rFonts w:eastAsia="Calibri"/>
          <w:spacing w:val="-3"/>
        </w:rPr>
        <w:t>may</w:t>
      </w:r>
      <w:r w:rsidR="0005091F">
        <w:rPr>
          <w:rFonts w:eastAsia="Calibri"/>
          <w:spacing w:val="-3"/>
        </w:rPr>
        <w:t xml:space="preserve"> also</w:t>
      </w:r>
      <w:r w:rsidRPr="008E1480" w:rsidR="00F82135">
        <w:rPr>
          <w:rFonts w:eastAsia="Calibri"/>
          <w:spacing w:val="-3"/>
        </w:rPr>
        <w:t xml:space="preserve"> be subject to</w:t>
      </w:r>
      <w:r w:rsidRPr="008E1480" w:rsidR="007166C2">
        <w:rPr>
          <w:rFonts w:eastAsia="Calibri"/>
          <w:spacing w:val="-3"/>
        </w:rPr>
        <w:t xml:space="preserve"> CFR Part 63 Subpart ZZZZ</w:t>
      </w:r>
      <w:r w:rsidR="00FD2DA5">
        <w:rPr>
          <w:rFonts w:eastAsia="Calibri"/>
          <w:spacing w:val="-3"/>
        </w:rPr>
        <w:t xml:space="preserve">, </w:t>
      </w:r>
      <w:r w:rsidR="004A130B">
        <w:rPr>
          <w:rFonts w:eastAsia="Calibri"/>
          <w:spacing w:val="-3"/>
        </w:rPr>
        <w:t>and</w:t>
      </w:r>
      <w:r w:rsidRPr="003971F2" w:rsidR="003971F2">
        <w:rPr>
          <w:rFonts w:eastAsia="Calibri"/>
          <w:spacing w:val="-3"/>
        </w:rPr>
        <w:t xml:space="preserve"> Standards of Performance for New Stationary Sources for emergency compression ignition reciprocating engines under 40 CFR 60 Subpart IIII</w:t>
      </w:r>
      <w:r w:rsidR="0071041E">
        <w:rPr>
          <w:rFonts w:eastAsia="Calibri"/>
          <w:spacing w:val="-3"/>
        </w:rPr>
        <w:t>.</w:t>
      </w:r>
    </w:p>
    <w:p w:rsidR="00C62FDA" w:rsidP="009B5728" w:rsidRDefault="00C62FDA" w14:paraId="0709A31E" w14:textId="77777777">
      <w:pPr>
        <w:tabs>
          <w:tab w:val="left" w:pos="-720"/>
          <w:tab w:val="left" w:pos="0"/>
        </w:tabs>
        <w:suppressAutoHyphens/>
        <w:jc w:val="both"/>
        <w:rPr>
          <w:rFonts w:eastAsia="Calibri"/>
          <w:spacing w:val="-3"/>
        </w:rPr>
      </w:pPr>
    </w:p>
    <w:p w:rsidRPr="000F7AD5" w:rsidR="00DF6F70" w:rsidP="009B5728" w:rsidRDefault="00DF6F70" w14:paraId="6557281F" w14:textId="3D47D02A">
      <w:pPr>
        <w:tabs>
          <w:tab w:val="left" w:pos="-720"/>
          <w:tab w:val="left" w:pos="0"/>
        </w:tabs>
        <w:suppressAutoHyphens/>
        <w:jc w:val="both"/>
        <w:rPr>
          <w:rFonts w:eastAsia="Calibri"/>
          <w:spacing w:val="-3"/>
        </w:rPr>
      </w:pPr>
      <w:r w:rsidRPr="000F7AD5">
        <w:rPr>
          <w:rFonts w:eastAsia="Calibri"/>
          <w:spacing w:val="-3"/>
        </w:rPr>
        <w:t>Since MassDEP has not accepted delegation for Subpart</w:t>
      </w:r>
      <w:r w:rsidR="00C62FDA">
        <w:rPr>
          <w:rFonts w:eastAsia="Calibri"/>
          <w:spacing w:val="-3"/>
        </w:rPr>
        <w:t>s</w:t>
      </w:r>
      <w:r w:rsidRPr="000F7AD5">
        <w:rPr>
          <w:rFonts w:eastAsia="Calibri"/>
          <w:spacing w:val="-3"/>
        </w:rPr>
        <w:t xml:space="preserve"> ZZZZ</w:t>
      </w:r>
      <w:r w:rsidR="00C62FDA">
        <w:rPr>
          <w:rFonts w:eastAsia="Calibri"/>
          <w:spacing w:val="-3"/>
        </w:rPr>
        <w:t xml:space="preserve"> or IIII</w:t>
      </w:r>
      <w:r w:rsidRPr="000F7AD5">
        <w:rPr>
          <w:rFonts w:eastAsia="Calibri"/>
          <w:spacing w:val="-3"/>
        </w:rPr>
        <w:t>, you are advised to consult with the United States Environmental Protection Agency (USEPA) for additional information. There may be additional notification, record keeping, and reporting requirements.  Their address is USEPA Region 1, 5 Post Office Square – Suite 100, Boston, MA  02109-3912.</w:t>
      </w:r>
    </w:p>
    <w:p w:rsidRPr="000F7AD5" w:rsidR="00DF6F70" w:rsidP="00DF6F70" w:rsidRDefault="00DF6F70" w14:paraId="5BAB096C" w14:textId="77777777"/>
    <w:p w:rsidR="009E042F" w:rsidRDefault="00DF6F70" w14:paraId="6AE8BFD8" w14:textId="295E6802">
      <w:r w:rsidRPr="000F7AD5">
        <w:t xml:space="preserve">This Plan Approval, NE-23-016 (ePLACE Authorization No.: </w:t>
      </w:r>
      <w:r w:rsidRPr="00BD2B41">
        <w:rPr>
          <w:highlight w:val="lightGray"/>
        </w:rPr>
        <w:t>AQ02P-0000xxx</w:t>
      </w:r>
      <w:r w:rsidRPr="000F7AD5">
        <w:t>) supersedes Plan Approval NE-21-024, issued to the Permittee on March 22, 2022, in its entirety, with exception of all plan application materials submitted as part of the Plan Approval NE-21-024 become part of this Plan Approval, NE</w:t>
      </w:r>
      <w:r w:rsidRPr="000F7AD5">
        <w:noBreakHyphen/>
        <w:t>23</w:t>
      </w:r>
      <w:r w:rsidRPr="000F7AD5">
        <w:noBreakHyphen/>
        <w:t xml:space="preserve">016.  </w:t>
      </w:r>
    </w:p>
    <w:p w:rsidRPr="00FB3A84" w:rsidR="00FB3A84" w:rsidRDefault="00FB3A84" w14:paraId="237797D7" w14:textId="77777777"/>
    <w:p w:rsidRPr="000F7AD5" w:rsidR="00DF6F70" w:rsidRDefault="00DF6F70" w14:paraId="22724F75" w14:textId="29F2A6F2">
      <w:pPr>
        <w:rPr>
          <w:rFonts w:eastAsiaTheme="minorHAnsi" w:cstheme="minorBidi"/>
          <w:b/>
          <w:sz w:val="28"/>
          <w:szCs w:val="28"/>
          <w:u w:val="single"/>
        </w:rPr>
      </w:pPr>
    </w:p>
    <w:p w:rsidR="00FB3A84" w:rsidRDefault="00FB3A84" w14:paraId="63C7D8A6" w14:textId="77777777">
      <w:pPr>
        <w:rPr>
          <w:rFonts w:eastAsiaTheme="minorHAnsi" w:cstheme="minorBidi"/>
          <w:b/>
          <w:sz w:val="28"/>
          <w:szCs w:val="28"/>
          <w:u w:val="single"/>
        </w:rPr>
      </w:pPr>
      <w:r>
        <w:rPr>
          <w:b/>
          <w:sz w:val="28"/>
          <w:szCs w:val="28"/>
          <w:u w:val="single"/>
        </w:rPr>
        <w:br w:type="page"/>
      </w:r>
    </w:p>
    <w:p w:rsidRPr="000F7AD5" w:rsidR="00924460" w:rsidP="004479BA" w:rsidRDefault="00924460" w14:paraId="779F54F9" w14:textId="5610F65B">
      <w:pPr>
        <w:pStyle w:val="ListParagraph"/>
        <w:numPr>
          <w:ilvl w:val="0"/>
          <w:numId w:val="3"/>
        </w:numPr>
        <w:ind w:hanging="720"/>
        <w:rPr>
          <w:b/>
          <w:sz w:val="28"/>
          <w:szCs w:val="28"/>
          <w:u w:val="single"/>
        </w:rPr>
      </w:pPr>
      <w:r w:rsidRPr="000F7AD5">
        <w:rPr>
          <w:b/>
          <w:sz w:val="28"/>
          <w:szCs w:val="28"/>
          <w:u w:val="single"/>
        </w:rPr>
        <w:lastRenderedPageBreak/>
        <w:t>EMISSION UNIT IDENTIFICATION</w:t>
      </w:r>
    </w:p>
    <w:p w:rsidRPr="000F7AD5" w:rsidR="00924460" w:rsidP="00C00C5E" w:rsidRDefault="00924460" w14:paraId="779F54FA" w14:textId="77777777"/>
    <w:p w:rsidRPr="000F7AD5" w:rsidR="001F31B1" w:rsidP="0084077F" w:rsidRDefault="00A82586" w14:paraId="779F54FD" w14:textId="16E7242A">
      <w:pPr>
        <w:pStyle w:val="BodyTextIndent2"/>
        <w:ind w:firstLine="0"/>
        <w:jc w:val="left"/>
      </w:pPr>
      <w:r w:rsidRPr="000F7AD5">
        <w:t>Each Emission Unit</w:t>
      </w:r>
      <w:r w:rsidRPr="000F7AD5" w:rsidR="00E55F27">
        <w:t xml:space="preserve"> </w:t>
      </w:r>
      <w:r w:rsidRPr="000F7AD5">
        <w:t>(</w:t>
      </w:r>
      <w:r w:rsidRPr="000F7AD5" w:rsidR="004479BA">
        <w:t>“</w:t>
      </w:r>
      <w:r w:rsidRPr="000F7AD5">
        <w:t>EU</w:t>
      </w:r>
      <w:r w:rsidRPr="000F7AD5" w:rsidR="004479BA">
        <w:t>”</w:t>
      </w:r>
      <w:r w:rsidRPr="000F7AD5">
        <w:t>)</w:t>
      </w:r>
      <w:r w:rsidRPr="000F7AD5" w:rsidR="00B81D05">
        <w:t xml:space="preserve"> </w:t>
      </w:r>
      <w:r w:rsidRPr="000F7AD5" w:rsidR="00557F5B">
        <w:t>identified</w:t>
      </w:r>
      <w:r w:rsidRPr="000F7AD5" w:rsidR="00E55F27">
        <w:t xml:space="preserve"> in Table 1</w:t>
      </w:r>
      <w:r w:rsidRPr="000F7AD5" w:rsidR="00056A43">
        <w:t xml:space="preserve"> is</w:t>
      </w:r>
      <w:r w:rsidRPr="000F7AD5" w:rsidR="00924460">
        <w:t xml:space="preserve"> subject to and regulated by this </w:t>
      </w:r>
      <w:r w:rsidRPr="000F7AD5" w:rsidR="00E23DF7">
        <w:t xml:space="preserve">Plan </w:t>
      </w:r>
      <w:r w:rsidRPr="000F7AD5" w:rsidR="00924460">
        <w:t>Approval:</w:t>
      </w:r>
    </w:p>
    <w:p w:rsidRPr="000F7AD5" w:rsidR="005C033E" w:rsidP="00F50989" w:rsidRDefault="005C033E" w14:paraId="543A0D23" w14:textId="77777777">
      <w:pPr>
        <w:pStyle w:val="BodyTextIndent2"/>
        <w:ind w:firstLine="0"/>
        <w:jc w:val="center"/>
        <w:rPr>
          <w:b/>
          <w:bCs/>
        </w:rPr>
      </w:pPr>
    </w:p>
    <w:p w:rsidRPr="00A91DC2" w:rsidR="00211121" w:rsidP="00F50989" w:rsidRDefault="00F50989" w14:paraId="3C630D90" w14:textId="22DBEA67">
      <w:pPr>
        <w:pStyle w:val="BodyTextIndent2"/>
        <w:ind w:firstLine="0"/>
        <w:jc w:val="center"/>
        <w:rPr>
          <w:b/>
          <w:bCs/>
          <w:sz w:val="28"/>
          <w:szCs w:val="28"/>
          <w:vertAlign w:val="superscript"/>
        </w:rPr>
      </w:pPr>
      <w:r w:rsidRPr="000F7AD5">
        <w:rPr>
          <w:b/>
          <w:bCs/>
          <w:sz w:val="28"/>
          <w:szCs w:val="28"/>
        </w:rPr>
        <w:t>Table 1</w:t>
      </w:r>
    </w:p>
    <w:tbl>
      <w:tblPr>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72" w:type="dxa"/>
          <w:bottom w:w="29" w:type="dxa"/>
          <w:right w:w="72" w:type="dxa"/>
        </w:tblCellMar>
        <w:tblLook w:val="0000" w:firstRow="0" w:lastRow="0" w:firstColumn="0" w:lastColumn="0" w:noHBand="0" w:noVBand="0"/>
      </w:tblPr>
      <w:tblGrid>
        <w:gridCol w:w="1187"/>
        <w:gridCol w:w="3139"/>
        <w:gridCol w:w="2706"/>
        <w:gridCol w:w="2526"/>
      </w:tblGrid>
      <w:tr w:rsidRPr="000F7AD5" w:rsidR="00735AEA" w:rsidTr="00735AEA" w14:paraId="53671F34" w14:textId="77777777">
        <w:trPr>
          <w:tblHeader/>
          <w:jc w:val="center"/>
        </w:trPr>
        <w:tc>
          <w:tcPr>
            <w:tcW w:w="1187" w:type="dxa"/>
            <w:shd w:val="clear" w:color="auto" w:fill="BFBFBF" w:themeFill="background1" w:themeFillShade="BF"/>
            <w:vAlign w:val="center"/>
          </w:tcPr>
          <w:p w:rsidRPr="000F7AD5" w:rsidR="00735AEA" w:rsidP="00735AEA" w:rsidRDefault="00735AEA" w14:paraId="74FFEC4C" w14:textId="37428C8C">
            <w:pPr>
              <w:jc w:val="center"/>
              <w:rPr>
                <w:b/>
                <w:sz w:val="20"/>
                <w:szCs w:val="20"/>
              </w:rPr>
            </w:pPr>
            <w:r w:rsidRPr="000F7AD5">
              <w:rPr>
                <w:b/>
                <w:sz w:val="20"/>
                <w:szCs w:val="20"/>
              </w:rPr>
              <w:t>EU</w:t>
            </w:r>
            <w:r w:rsidRPr="007B57D7" w:rsidR="0023236A">
              <w:rPr>
                <w:b/>
                <w:bCs/>
                <w:sz w:val="20"/>
                <w:szCs w:val="20"/>
                <w:vertAlign w:val="superscript"/>
              </w:rPr>
              <w:t>a</w:t>
            </w:r>
          </w:p>
        </w:tc>
        <w:tc>
          <w:tcPr>
            <w:tcW w:w="3139" w:type="dxa"/>
            <w:shd w:val="clear" w:color="auto" w:fill="BFBFBF" w:themeFill="background1" w:themeFillShade="BF"/>
            <w:vAlign w:val="center"/>
          </w:tcPr>
          <w:p w:rsidRPr="000F7AD5" w:rsidR="00735AEA" w:rsidP="00735AEA" w:rsidRDefault="00735AEA" w14:paraId="1919200A" w14:textId="651CDA39">
            <w:pPr>
              <w:jc w:val="center"/>
              <w:rPr>
                <w:b/>
                <w:sz w:val="20"/>
                <w:szCs w:val="20"/>
              </w:rPr>
            </w:pPr>
            <w:r w:rsidRPr="000F7AD5">
              <w:rPr>
                <w:b/>
                <w:sz w:val="20"/>
                <w:szCs w:val="20"/>
              </w:rPr>
              <w:t>Description</w:t>
            </w:r>
          </w:p>
        </w:tc>
        <w:tc>
          <w:tcPr>
            <w:tcW w:w="2706" w:type="dxa"/>
            <w:shd w:val="clear" w:color="auto" w:fill="BFBFBF" w:themeFill="background1" w:themeFillShade="BF"/>
            <w:vAlign w:val="center"/>
          </w:tcPr>
          <w:p w:rsidRPr="000F7AD5" w:rsidR="00735AEA" w:rsidP="00735AEA" w:rsidRDefault="00735AEA" w14:paraId="73EEDFFE" w14:textId="77777777">
            <w:pPr>
              <w:jc w:val="center"/>
              <w:rPr>
                <w:b/>
                <w:sz w:val="20"/>
                <w:szCs w:val="20"/>
              </w:rPr>
            </w:pPr>
            <w:r w:rsidRPr="000F7AD5">
              <w:rPr>
                <w:b/>
                <w:sz w:val="20"/>
                <w:szCs w:val="20"/>
              </w:rPr>
              <w:t>Design Capacity</w:t>
            </w:r>
          </w:p>
        </w:tc>
        <w:tc>
          <w:tcPr>
            <w:tcW w:w="2526" w:type="dxa"/>
            <w:shd w:val="clear" w:color="auto" w:fill="BFBFBF" w:themeFill="background1" w:themeFillShade="BF"/>
            <w:vAlign w:val="center"/>
          </w:tcPr>
          <w:p w:rsidRPr="000F7AD5" w:rsidR="00735AEA" w:rsidP="00735AEA" w:rsidRDefault="00735AEA" w14:paraId="2E14149A" w14:textId="7B8BA28F">
            <w:pPr>
              <w:jc w:val="center"/>
              <w:rPr>
                <w:b/>
                <w:sz w:val="20"/>
                <w:szCs w:val="20"/>
              </w:rPr>
            </w:pPr>
            <w:r w:rsidRPr="000F7AD5">
              <w:rPr>
                <w:b/>
                <w:sz w:val="20"/>
                <w:szCs w:val="20"/>
              </w:rPr>
              <w:t xml:space="preserve">Pollution Control Device </w:t>
            </w:r>
          </w:p>
        </w:tc>
      </w:tr>
      <w:tr w:rsidRPr="000F7AD5" w:rsidR="00735AEA" w:rsidTr="00FD662D" w14:paraId="7FD50DF8" w14:textId="77777777">
        <w:trPr>
          <w:cantSplit/>
          <w:trHeight w:val="20"/>
          <w:jc w:val="center"/>
        </w:trPr>
        <w:tc>
          <w:tcPr>
            <w:tcW w:w="1187" w:type="dxa"/>
            <w:vAlign w:val="center"/>
          </w:tcPr>
          <w:p w:rsidRPr="000F7AD5" w:rsidR="00735AEA" w:rsidP="00941D3D" w:rsidRDefault="00735AEA" w14:paraId="3624DDC4" w14:textId="77777777">
            <w:pPr>
              <w:jc w:val="center"/>
              <w:rPr>
                <w:sz w:val="20"/>
                <w:szCs w:val="20"/>
              </w:rPr>
            </w:pPr>
            <w:r w:rsidRPr="000F7AD5">
              <w:rPr>
                <w:sz w:val="20"/>
                <w:szCs w:val="20"/>
              </w:rPr>
              <w:t>EU1</w:t>
            </w:r>
          </w:p>
        </w:tc>
        <w:tc>
          <w:tcPr>
            <w:tcW w:w="3139" w:type="dxa"/>
            <w:vAlign w:val="center"/>
          </w:tcPr>
          <w:p w:rsidRPr="000F7AD5" w:rsidR="00735AEA" w:rsidP="00941D3D" w:rsidRDefault="00735AEA" w14:paraId="3F5C73CE" w14:textId="5B380F9D">
            <w:pPr>
              <w:jc w:val="center"/>
              <w:rPr>
                <w:sz w:val="20"/>
                <w:szCs w:val="20"/>
              </w:rPr>
            </w:pPr>
            <w:r w:rsidRPr="000F7AD5">
              <w:rPr>
                <w:sz w:val="20"/>
                <w:szCs w:val="20"/>
              </w:rPr>
              <w:t>Cleaver Brooks Boiler</w:t>
            </w:r>
          </w:p>
          <w:p w:rsidRPr="000F7AD5" w:rsidR="00735AEA" w:rsidP="00941D3D" w:rsidRDefault="00735AEA" w14:paraId="58D38A3D" w14:textId="77777777">
            <w:pPr>
              <w:jc w:val="center"/>
              <w:rPr>
                <w:sz w:val="20"/>
                <w:szCs w:val="20"/>
              </w:rPr>
            </w:pPr>
            <w:r w:rsidRPr="000F7AD5">
              <w:rPr>
                <w:sz w:val="20"/>
                <w:szCs w:val="20"/>
              </w:rPr>
              <w:t># CB 665-700</w:t>
            </w:r>
          </w:p>
        </w:tc>
        <w:tc>
          <w:tcPr>
            <w:tcW w:w="2706" w:type="dxa"/>
            <w:vAlign w:val="center"/>
          </w:tcPr>
          <w:p w:rsidRPr="000F7AD5" w:rsidR="00735AEA" w:rsidP="00941D3D" w:rsidRDefault="00735AEA" w14:paraId="466B2F49" w14:textId="10BBF080">
            <w:pPr>
              <w:jc w:val="center"/>
              <w:rPr>
                <w:sz w:val="20"/>
                <w:szCs w:val="20"/>
              </w:rPr>
            </w:pPr>
            <w:r w:rsidRPr="000F7AD5">
              <w:rPr>
                <w:sz w:val="20"/>
                <w:szCs w:val="20"/>
              </w:rPr>
              <w:t>29.291 million British thermal units per hour</w:t>
            </w:r>
          </w:p>
          <w:p w:rsidRPr="000F7AD5" w:rsidR="00735AEA" w:rsidP="00941D3D" w:rsidRDefault="00735AEA" w14:paraId="1901D74B" w14:textId="77777777">
            <w:pPr>
              <w:jc w:val="center"/>
              <w:rPr>
                <w:sz w:val="20"/>
                <w:szCs w:val="20"/>
              </w:rPr>
            </w:pPr>
            <w:r w:rsidRPr="000F7AD5">
              <w:rPr>
                <w:sz w:val="20"/>
                <w:szCs w:val="20"/>
              </w:rPr>
              <w:t>(MMBtu/hr)</w:t>
            </w:r>
          </w:p>
        </w:tc>
        <w:tc>
          <w:tcPr>
            <w:tcW w:w="2526" w:type="dxa"/>
            <w:vAlign w:val="center"/>
          </w:tcPr>
          <w:p w:rsidRPr="000F7AD5" w:rsidR="00735AEA" w:rsidP="00FD662D" w:rsidRDefault="00735AEA" w14:paraId="6814C4F6" w14:textId="77777777">
            <w:pPr>
              <w:jc w:val="center"/>
              <w:rPr>
                <w:sz w:val="20"/>
                <w:szCs w:val="20"/>
              </w:rPr>
            </w:pPr>
            <w:r w:rsidRPr="000F7AD5">
              <w:rPr>
                <w:sz w:val="20"/>
                <w:szCs w:val="20"/>
              </w:rPr>
              <w:t>None</w:t>
            </w:r>
          </w:p>
        </w:tc>
      </w:tr>
      <w:tr w:rsidRPr="000F7AD5" w:rsidR="00735AEA" w:rsidTr="00FD662D" w14:paraId="38201534" w14:textId="77777777">
        <w:trPr>
          <w:cantSplit/>
          <w:trHeight w:val="20"/>
          <w:jc w:val="center"/>
        </w:trPr>
        <w:tc>
          <w:tcPr>
            <w:tcW w:w="1187" w:type="dxa"/>
            <w:vAlign w:val="center"/>
          </w:tcPr>
          <w:p w:rsidRPr="000F7AD5" w:rsidR="00735AEA" w:rsidP="00941D3D" w:rsidRDefault="00735AEA" w14:paraId="2B85E5EC" w14:textId="77777777">
            <w:pPr>
              <w:jc w:val="center"/>
              <w:rPr>
                <w:sz w:val="20"/>
                <w:szCs w:val="20"/>
              </w:rPr>
            </w:pPr>
            <w:r w:rsidRPr="000F7AD5">
              <w:rPr>
                <w:sz w:val="20"/>
                <w:szCs w:val="20"/>
              </w:rPr>
              <w:t>EU3</w:t>
            </w:r>
          </w:p>
        </w:tc>
        <w:tc>
          <w:tcPr>
            <w:tcW w:w="3139" w:type="dxa"/>
            <w:vAlign w:val="center"/>
          </w:tcPr>
          <w:p w:rsidRPr="000F7AD5" w:rsidR="00735AEA" w:rsidP="00941D3D" w:rsidRDefault="00735AEA" w14:paraId="4AD247E8" w14:textId="77777777">
            <w:pPr>
              <w:jc w:val="center"/>
              <w:rPr>
                <w:sz w:val="20"/>
                <w:szCs w:val="20"/>
              </w:rPr>
            </w:pPr>
            <w:r w:rsidRPr="000F7AD5">
              <w:rPr>
                <w:sz w:val="20"/>
                <w:szCs w:val="20"/>
              </w:rPr>
              <w:t>Cleaver Brooks Boiler</w:t>
            </w:r>
          </w:p>
          <w:p w:rsidRPr="000F7AD5" w:rsidR="00735AEA" w:rsidP="00941D3D" w:rsidRDefault="00735AEA" w14:paraId="001D5977" w14:textId="77777777">
            <w:pPr>
              <w:jc w:val="center"/>
              <w:rPr>
                <w:sz w:val="20"/>
                <w:szCs w:val="20"/>
              </w:rPr>
            </w:pPr>
            <w:r w:rsidRPr="000F7AD5">
              <w:rPr>
                <w:sz w:val="20"/>
                <w:szCs w:val="20"/>
              </w:rPr>
              <w:t># CB 665-700</w:t>
            </w:r>
          </w:p>
        </w:tc>
        <w:tc>
          <w:tcPr>
            <w:tcW w:w="2706" w:type="dxa"/>
            <w:vAlign w:val="center"/>
          </w:tcPr>
          <w:p w:rsidRPr="000F7AD5" w:rsidR="00735AEA" w:rsidP="00941D3D" w:rsidRDefault="00735AEA" w14:paraId="00FDD6F8" w14:textId="77777777">
            <w:pPr>
              <w:jc w:val="center"/>
              <w:rPr>
                <w:sz w:val="20"/>
                <w:szCs w:val="20"/>
              </w:rPr>
            </w:pPr>
            <w:r w:rsidRPr="000F7AD5">
              <w:rPr>
                <w:sz w:val="20"/>
                <w:szCs w:val="20"/>
              </w:rPr>
              <w:t>29.291 MMBtu/hr</w:t>
            </w:r>
          </w:p>
        </w:tc>
        <w:tc>
          <w:tcPr>
            <w:tcW w:w="2526" w:type="dxa"/>
            <w:vAlign w:val="center"/>
          </w:tcPr>
          <w:p w:rsidRPr="000F7AD5" w:rsidR="00735AEA" w:rsidP="00FD662D" w:rsidRDefault="00735AEA" w14:paraId="252C8612" w14:textId="77777777">
            <w:pPr>
              <w:jc w:val="center"/>
              <w:rPr>
                <w:sz w:val="20"/>
                <w:szCs w:val="20"/>
              </w:rPr>
            </w:pPr>
            <w:r w:rsidRPr="000F7AD5">
              <w:rPr>
                <w:sz w:val="20"/>
                <w:szCs w:val="20"/>
              </w:rPr>
              <w:t>None</w:t>
            </w:r>
          </w:p>
        </w:tc>
      </w:tr>
      <w:tr w:rsidRPr="000F7AD5" w:rsidR="00735AEA" w:rsidTr="00FD662D" w14:paraId="1C4F150A" w14:textId="77777777">
        <w:trPr>
          <w:cantSplit/>
          <w:trHeight w:val="20"/>
          <w:jc w:val="center"/>
        </w:trPr>
        <w:tc>
          <w:tcPr>
            <w:tcW w:w="1187" w:type="dxa"/>
            <w:vAlign w:val="center"/>
          </w:tcPr>
          <w:p w:rsidRPr="000F7AD5" w:rsidR="00735AEA" w:rsidP="00941D3D" w:rsidRDefault="00735AEA" w14:paraId="41DA2E94" w14:textId="77777777">
            <w:pPr>
              <w:jc w:val="center"/>
              <w:rPr>
                <w:sz w:val="20"/>
                <w:szCs w:val="20"/>
              </w:rPr>
            </w:pPr>
            <w:r w:rsidRPr="000F7AD5">
              <w:rPr>
                <w:sz w:val="20"/>
                <w:szCs w:val="20"/>
              </w:rPr>
              <w:t>EU5</w:t>
            </w:r>
          </w:p>
        </w:tc>
        <w:tc>
          <w:tcPr>
            <w:tcW w:w="3139" w:type="dxa"/>
            <w:vAlign w:val="center"/>
          </w:tcPr>
          <w:p w:rsidRPr="000F7AD5" w:rsidR="00735AEA" w:rsidP="00941D3D" w:rsidRDefault="00735AEA" w14:paraId="6A39B091" w14:textId="77777777">
            <w:pPr>
              <w:jc w:val="center"/>
              <w:rPr>
                <w:sz w:val="20"/>
                <w:szCs w:val="20"/>
              </w:rPr>
            </w:pPr>
            <w:r w:rsidRPr="000F7AD5">
              <w:rPr>
                <w:sz w:val="20"/>
                <w:szCs w:val="20"/>
              </w:rPr>
              <w:t>Aerosol Can Filling Line No. 1</w:t>
            </w:r>
          </w:p>
        </w:tc>
        <w:tc>
          <w:tcPr>
            <w:tcW w:w="2706" w:type="dxa"/>
            <w:vAlign w:val="center"/>
          </w:tcPr>
          <w:p w:rsidRPr="000F7AD5" w:rsidR="00735AEA" w:rsidP="00941D3D" w:rsidRDefault="00735AEA" w14:paraId="42378B7C" w14:textId="77777777">
            <w:pPr>
              <w:jc w:val="center"/>
              <w:rPr>
                <w:sz w:val="20"/>
                <w:szCs w:val="20"/>
              </w:rPr>
            </w:pPr>
            <w:r w:rsidRPr="000F7AD5">
              <w:rPr>
                <w:sz w:val="20"/>
                <w:szCs w:val="20"/>
              </w:rPr>
              <w:t>Maximum filling of 300 aerosol cans per minute</w:t>
            </w:r>
          </w:p>
        </w:tc>
        <w:tc>
          <w:tcPr>
            <w:tcW w:w="2526" w:type="dxa"/>
            <w:vAlign w:val="center"/>
          </w:tcPr>
          <w:p w:rsidRPr="000F7AD5" w:rsidR="00735AEA" w:rsidP="00FD662D" w:rsidRDefault="00735AEA" w14:paraId="52518458" w14:textId="77777777">
            <w:pPr>
              <w:jc w:val="center"/>
              <w:rPr>
                <w:sz w:val="20"/>
                <w:szCs w:val="20"/>
              </w:rPr>
            </w:pPr>
            <w:r w:rsidRPr="000F7AD5">
              <w:rPr>
                <w:sz w:val="20"/>
                <w:szCs w:val="20"/>
              </w:rPr>
              <w:t>None</w:t>
            </w:r>
          </w:p>
        </w:tc>
      </w:tr>
      <w:tr w:rsidRPr="000F7AD5" w:rsidR="00735AEA" w:rsidTr="00735AEA" w14:paraId="65FB689B" w14:textId="77777777">
        <w:trPr>
          <w:cantSplit/>
          <w:trHeight w:val="20"/>
          <w:jc w:val="center"/>
        </w:trPr>
        <w:tc>
          <w:tcPr>
            <w:tcW w:w="1187" w:type="dxa"/>
            <w:vAlign w:val="center"/>
          </w:tcPr>
          <w:p w:rsidRPr="000F7AD5" w:rsidR="00735AEA" w:rsidP="00941D3D" w:rsidRDefault="00735AEA" w14:paraId="33A0A137" w14:textId="77777777">
            <w:pPr>
              <w:jc w:val="center"/>
              <w:rPr>
                <w:sz w:val="20"/>
                <w:szCs w:val="20"/>
              </w:rPr>
            </w:pPr>
            <w:r w:rsidRPr="000F7AD5">
              <w:rPr>
                <w:sz w:val="20"/>
                <w:szCs w:val="20"/>
              </w:rPr>
              <w:t>EU10</w:t>
            </w:r>
          </w:p>
        </w:tc>
        <w:tc>
          <w:tcPr>
            <w:tcW w:w="3139" w:type="dxa"/>
            <w:vAlign w:val="center"/>
          </w:tcPr>
          <w:p w:rsidRPr="000F7AD5" w:rsidR="00735AEA" w:rsidP="00941D3D" w:rsidRDefault="00735AEA" w14:paraId="34557D71" w14:textId="77777777">
            <w:pPr>
              <w:jc w:val="center"/>
              <w:rPr>
                <w:sz w:val="20"/>
                <w:szCs w:val="20"/>
              </w:rPr>
            </w:pPr>
            <w:r w:rsidRPr="000F7AD5">
              <w:rPr>
                <w:sz w:val="20"/>
                <w:szCs w:val="20"/>
              </w:rPr>
              <w:t>Pilot Lab (LPFM)</w:t>
            </w:r>
          </w:p>
        </w:tc>
        <w:tc>
          <w:tcPr>
            <w:tcW w:w="2706" w:type="dxa"/>
            <w:vAlign w:val="center"/>
          </w:tcPr>
          <w:p w:rsidRPr="000F7AD5" w:rsidR="00735AEA" w:rsidP="00941D3D" w:rsidRDefault="00735AEA" w14:paraId="4EBA364F" w14:textId="77777777">
            <w:pPr>
              <w:jc w:val="center"/>
              <w:rPr>
                <w:sz w:val="20"/>
                <w:szCs w:val="20"/>
              </w:rPr>
            </w:pPr>
            <w:r w:rsidRPr="000F7AD5">
              <w:rPr>
                <w:sz w:val="20"/>
                <w:szCs w:val="20"/>
              </w:rPr>
              <w:t>95 gallons propellant per hour</w:t>
            </w:r>
          </w:p>
          <w:p w:rsidRPr="000F7AD5" w:rsidR="00735AEA" w:rsidP="00941D3D" w:rsidRDefault="00735AEA" w14:paraId="58C261DE" w14:textId="77777777">
            <w:pPr>
              <w:jc w:val="center"/>
              <w:rPr>
                <w:sz w:val="20"/>
                <w:szCs w:val="20"/>
              </w:rPr>
            </w:pPr>
            <w:r w:rsidRPr="000F7AD5">
              <w:rPr>
                <w:sz w:val="20"/>
                <w:szCs w:val="20"/>
              </w:rPr>
              <w:t>116 gallons concentrate per hour</w:t>
            </w:r>
          </w:p>
        </w:tc>
        <w:tc>
          <w:tcPr>
            <w:tcW w:w="2526" w:type="dxa"/>
          </w:tcPr>
          <w:p w:rsidRPr="000F7AD5" w:rsidR="00735AEA" w:rsidP="00941D3D" w:rsidRDefault="00735AEA" w14:paraId="34317471" w14:textId="77777777">
            <w:pPr>
              <w:jc w:val="center"/>
              <w:rPr>
                <w:sz w:val="20"/>
                <w:szCs w:val="20"/>
              </w:rPr>
            </w:pPr>
          </w:p>
          <w:p w:rsidRPr="000F7AD5" w:rsidR="00735AEA" w:rsidP="00941D3D" w:rsidRDefault="00735AEA" w14:paraId="684CD104" w14:textId="77777777">
            <w:pPr>
              <w:jc w:val="center"/>
              <w:rPr>
                <w:sz w:val="20"/>
                <w:szCs w:val="20"/>
              </w:rPr>
            </w:pPr>
            <w:r w:rsidRPr="000F7AD5">
              <w:rPr>
                <w:sz w:val="20"/>
                <w:szCs w:val="20"/>
              </w:rPr>
              <w:t>None</w:t>
            </w:r>
          </w:p>
        </w:tc>
      </w:tr>
      <w:tr w:rsidRPr="000F7AD5" w:rsidR="00735AEA" w:rsidTr="00FD662D" w14:paraId="1911AD84" w14:textId="77777777">
        <w:trPr>
          <w:cantSplit/>
          <w:trHeight w:val="20"/>
          <w:jc w:val="center"/>
        </w:trPr>
        <w:tc>
          <w:tcPr>
            <w:tcW w:w="1187" w:type="dxa"/>
            <w:vAlign w:val="center"/>
          </w:tcPr>
          <w:p w:rsidRPr="000F7AD5" w:rsidR="00735AEA" w:rsidP="00941D3D" w:rsidRDefault="00735AEA" w14:paraId="78E9008F" w14:textId="77777777">
            <w:pPr>
              <w:jc w:val="center"/>
              <w:rPr>
                <w:sz w:val="20"/>
                <w:szCs w:val="20"/>
              </w:rPr>
            </w:pPr>
            <w:r w:rsidRPr="000F7AD5">
              <w:rPr>
                <w:sz w:val="20"/>
                <w:szCs w:val="20"/>
              </w:rPr>
              <w:t>EU12</w:t>
            </w:r>
          </w:p>
        </w:tc>
        <w:tc>
          <w:tcPr>
            <w:tcW w:w="3139" w:type="dxa"/>
            <w:vAlign w:val="center"/>
          </w:tcPr>
          <w:p w:rsidRPr="000F7AD5" w:rsidR="00735AEA" w:rsidP="00C7485A" w:rsidRDefault="00735AEA" w14:paraId="07387B93" w14:textId="77777777">
            <w:pPr>
              <w:rPr>
                <w:sz w:val="20"/>
                <w:szCs w:val="20"/>
              </w:rPr>
            </w:pPr>
            <w:r w:rsidRPr="000F7AD5">
              <w:rPr>
                <w:sz w:val="20"/>
                <w:szCs w:val="20"/>
              </w:rPr>
              <w:t>Tank Farm Propellant Tank (Tank No. V-102) above ground tank holding A-46 propellant</w:t>
            </w:r>
          </w:p>
          <w:p w:rsidRPr="000F7AD5" w:rsidR="00735AEA" w:rsidP="00941D3D" w:rsidRDefault="00735AEA" w14:paraId="1CE97AE4" w14:textId="77777777">
            <w:pPr>
              <w:jc w:val="center"/>
              <w:rPr>
                <w:sz w:val="20"/>
                <w:szCs w:val="20"/>
              </w:rPr>
            </w:pPr>
          </w:p>
          <w:p w:rsidRPr="000F7AD5" w:rsidR="00735AEA" w:rsidP="00941D3D" w:rsidRDefault="00735AEA" w14:paraId="441C310E" w14:textId="25EC49FC">
            <w:pPr>
              <w:jc w:val="center"/>
              <w:rPr>
                <w:sz w:val="20"/>
                <w:szCs w:val="20"/>
              </w:rPr>
            </w:pPr>
            <w:r w:rsidRPr="000F7AD5">
              <w:rPr>
                <w:sz w:val="20"/>
                <w:szCs w:val="20"/>
              </w:rPr>
              <w:t>Tank Farm Propellant Tank (Tank No. V-103) above ground tank holding Blowing Agent</w:t>
            </w:r>
          </w:p>
          <w:p w:rsidRPr="000F7AD5" w:rsidR="00735AEA" w:rsidP="00941D3D" w:rsidRDefault="00735AEA" w14:paraId="0892B0B8" w14:textId="77777777">
            <w:pPr>
              <w:jc w:val="center"/>
              <w:rPr>
                <w:sz w:val="20"/>
                <w:szCs w:val="20"/>
              </w:rPr>
            </w:pPr>
          </w:p>
          <w:p w:rsidRPr="000F7AD5" w:rsidR="00735AEA" w:rsidP="00941D3D" w:rsidRDefault="00735AEA" w14:paraId="7E923305" w14:textId="77777777">
            <w:pPr>
              <w:jc w:val="center"/>
              <w:rPr>
                <w:sz w:val="20"/>
                <w:szCs w:val="20"/>
              </w:rPr>
            </w:pPr>
            <w:r w:rsidRPr="000F7AD5">
              <w:rPr>
                <w:sz w:val="20"/>
                <w:szCs w:val="20"/>
              </w:rPr>
              <w:t>Tank Farm Propellant Tank</w:t>
            </w:r>
          </w:p>
          <w:p w:rsidRPr="000F7AD5" w:rsidR="00735AEA" w:rsidP="00941D3D" w:rsidRDefault="00735AEA" w14:paraId="49BC3F27" w14:textId="74DF0C6E">
            <w:pPr>
              <w:jc w:val="center"/>
              <w:rPr>
                <w:sz w:val="20"/>
                <w:szCs w:val="20"/>
              </w:rPr>
            </w:pPr>
            <w:r w:rsidRPr="000F7AD5">
              <w:rPr>
                <w:sz w:val="20"/>
                <w:szCs w:val="20"/>
              </w:rPr>
              <w:t>(Tank No. V-104) above ground tank (spare)</w:t>
            </w:r>
          </w:p>
        </w:tc>
        <w:tc>
          <w:tcPr>
            <w:tcW w:w="2706" w:type="dxa"/>
            <w:vAlign w:val="center"/>
          </w:tcPr>
          <w:p w:rsidRPr="000F7AD5" w:rsidR="00C7485A" w:rsidP="00941D3D" w:rsidRDefault="00C7485A" w14:paraId="6CD6DA66" w14:textId="77777777">
            <w:pPr>
              <w:jc w:val="center"/>
              <w:rPr>
                <w:sz w:val="20"/>
                <w:szCs w:val="20"/>
              </w:rPr>
            </w:pPr>
          </w:p>
          <w:p w:rsidRPr="000F7AD5" w:rsidR="00735AEA" w:rsidP="00CE12D6" w:rsidRDefault="00735AEA" w14:paraId="25B57531" w14:textId="4281D6EF">
            <w:pPr>
              <w:jc w:val="center"/>
              <w:rPr>
                <w:sz w:val="20"/>
                <w:szCs w:val="20"/>
              </w:rPr>
            </w:pPr>
            <w:r w:rsidRPr="000F7AD5">
              <w:rPr>
                <w:sz w:val="20"/>
                <w:szCs w:val="20"/>
              </w:rPr>
              <w:t>25,000 gallons (V-102)</w:t>
            </w:r>
          </w:p>
          <w:p w:rsidRPr="000F7AD5" w:rsidR="00735AEA" w:rsidP="00941D3D" w:rsidRDefault="00735AEA" w14:paraId="3D5D9771" w14:textId="77777777">
            <w:pPr>
              <w:jc w:val="center"/>
              <w:rPr>
                <w:sz w:val="20"/>
                <w:szCs w:val="20"/>
              </w:rPr>
            </w:pPr>
          </w:p>
          <w:p w:rsidRPr="000F7AD5" w:rsidR="00735AEA" w:rsidP="00941D3D" w:rsidRDefault="00735AEA" w14:paraId="4A879E32" w14:textId="77777777">
            <w:pPr>
              <w:jc w:val="center"/>
              <w:rPr>
                <w:sz w:val="20"/>
                <w:szCs w:val="20"/>
              </w:rPr>
            </w:pPr>
          </w:p>
          <w:p w:rsidRPr="000F7AD5" w:rsidR="00735AEA" w:rsidP="00941D3D" w:rsidRDefault="00735AEA" w14:paraId="4FCCBD54" w14:textId="77777777">
            <w:pPr>
              <w:jc w:val="center"/>
              <w:rPr>
                <w:sz w:val="20"/>
                <w:szCs w:val="20"/>
              </w:rPr>
            </w:pPr>
          </w:p>
          <w:p w:rsidRPr="000F7AD5" w:rsidR="00735AEA" w:rsidP="00941D3D" w:rsidRDefault="00735AEA" w14:paraId="7C881F32" w14:textId="77777777">
            <w:pPr>
              <w:jc w:val="center"/>
              <w:rPr>
                <w:sz w:val="20"/>
                <w:szCs w:val="20"/>
              </w:rPr>
            </w:pPr>
            <w:r w:rsidRPr="000F7AD5">
              <w:rPr>
                <w:sz w:val="20"/>
                <w:szCs w:val="20"/>
              </w:rPr>
              <w:t>25,000 gallons (V-103)</w:t>
            </w:r>
          </w:p>
          <w:p w:rsidRPr="000F7AD5" w:rsidR="00735AEA" w:rsidP="00941D3D" w:rsidRDefault="00735AEA" w14:paraId="0D21BFA5" w14:textId="77777777">
            <w:pPr>
              <w:jc w:val="center"/>
              <w:rPr>
                <w:sz w:val="20"/>
                <w:szCs w:val="20"/>
              </w:rPr>
            </w:pPr>
          </w:p>
          <w:p w:rsidRPr="000F7AD5" w:rsidR="00735AEA" w:rsidP="00941D3D" w:rsidRDefault="00735AEA" w14:paraId="62C1E7CB" w14:textId="77777777">
            <w:pPr>
              <w:jc w:val="center"/>
              <w:rPr>
                <w:sz w:val="20"/>
                <w:szCs w:val="20"/>
              </w:rPr>
            </w:pPr>
          </w:p>
          <w:p w:rsidRPr="000F7AD5" w:rsidR="00735AEA" w:rsidP="00941D3D" w:rsidRDefault="00735AEA" w14:paraId="43E64231" w14:textId="77777777">
            <w:pPr>
              <w:jc w:val="center"/>
              <w:rPr>
                <w:sz w:val="20"/>
                <w:szCs w:val="20"/>
              </w:rPr>
            </w:pPr>
          </w:p>
          <w:p w:rsidRPr="000F7AD5" w:rsidR="00735AEA" w:rsidP="00941D3D" w:rsidRDefault="00735AEA" w14:paraId="7FFCA4F3" w14:textId="77777777">
            <w:pPr>
              <w:jc w:val="center"/>
              <w:rPr>
                <w:sz w:val="20"/>
                <w:szCs w:val="20"/>
              </w:rPr>
            </w:pPr>
            <w:r w:rsidRPr="000F7AD5">
              <w:rPr>
                <w:sz w:val="20"/>
                <w:szCs w:val="20"/>
              </w:rPr>
              <w:t>30,000 gallons (V-104)</w:t>
            </w:r>
          </w:p>
          <w:p w:rsidRPr="000F7AD5" w:rsidR="00735AEA" w:rsidP="00941D3D" w:rsidRDefault="00735AEA" w14:paraId="1A50FE2F" w14:textId="77777777">
            <w:pPr>
              <w:jc w:val="center"/>
              <w:rPr>
                <w:sz w:val="20"/>
                <w:szCs w:val="20"/>
              </w:rPr>
            </w:pPr>
          </w:p>
          <w:p w:rsidRPr="000F7AD5" w:rsidR="00735AEA" w:rsidP="00941D3D" w:rsidRDefault="00735AEA" w14:paraId="303406F3" w14:textId="77777777">
            <w:pPr>
              <w:jc w:val="center"/>
              <w:rPr>
                <w:sz w:val="20"/>
                <w:szCs w:val="20"/>
              </w:rPr>
            </w:pPr>
          </w:p>
        </w:tc>
        <w:tc>
          <w:tcPr>
            <w:tcW w:w="2526" w:type="dxa"/>
            <w:vAlign w:val="center"/>
          </w:tcPr>
          <w:p w:rsidRPr="000F7AD5" w:rsidR="00735AEA" w:rsidP="00FD662D" w:rsidRDefault="00735AEA" w14:paraId="40730EF5" w14:textId="77777777">
            <w:pPr>
              <w:jc w:val="center"/>
              <w:rPr>
                <w:sz w:val="20"/>
                <w:szCs w:val="20"/>
              </w:rPr>
            </w:pPr>
            <w:r w:rsidRPr="000F7AD5">
              <w:rPr>
                <w:sz w:val="20"/>
                <w:szCs w:val="20"/>
              </w:rPr>
              <w:t>None</w:t>
            </w:r>
          </w:p>
        </w:tc>
      </w:tr>
      <w:tr w:rsidRPr="000F7AD5" w:rsidR="00735AEA" w:rsidTr="00FD662D" w14:paraId="73974DA5" w14:textId="77777777">
        <w:trPr>
          <w:cantSplit/>
          <w:trHeight w:val="20"/>
          <w:jc w:val="center"/>
        </w:trPr>
        <w:tc>
          <w:tcPr>
            <w:tcW w:w="1187" w:type="dxa"/>
            <w:vAlign w:val="center"/>
          </w:tcPr>
          <w:p w:rsidRPr="000F7AD5" w:rsidR="00735AEA" w:rsidP="00941D3D" w:rsidRDefault="00735AEA" w14:paraId="563A52A1" w14:textId="77777777">
            <w:pPr>
              <w:jc w:val="center"/>
              <w:rPr>
                <w:sz w:val="20"/>
                <w:szCs w:val="20"/>
              </w:rPr>
            </w:pPr>
            <w:r w:rsidRPr="000F7AD5">
              <w:rPr>
                <w:sz w:val="20"/>
                <w:szCs w:val="20"/>
              </w:rPr>
              <w:t>EU13</w:t>
            </w:r>
          </w:p>
        </w:tc>
        <w:tc>
          <w:tcPr>
            <w:tcW w:w="3139" w:type="dxa"/>
            <w:vAlign w:val="center"/>
          </w:tcPr>
          <w:p w:rsidRPr="000F7AD5" w:rsidR="00735AEA" w:rsidP="00941D3D" w:rsidRDefault="00735AEA" w14:paraId="1680D4BD" w14:textId="77777777">
            <w:pPr>
              <w:jc w:val="center"/>
              <w:rPr>
                <w:sz w:val="20"/>
                <w:szCs w:val="20"/>
              </w:rPr>
            </w:pPr>
            <w:r w:rsidRPr="000F7AD5">
              <w:rPr>
                <w:sz w:val="20"/>
                <w:szCs w:val="20"/>
              </w:rPr>
              <w:t>Cummins H6-1F Diesel (CI RICE) Fire Pump No. 3</w:t>
            </w:r>
          </w:p>
        </w:tc>
        <w:tc>
          <w:tcPr>
            <w:tcW w:w="2706" w:type="dxa"/>
            <w:vAlign w:val="center"/>
          </w:tcPr>
          <w:p w:rsidRPr="000F7AD5" w:rsidR="00C7485A" w:rsidP="00941D3D" w:rsidRDefault="00735AEA" w14:paraId="33166FBB" w14:textId="77777777">
            <w:pPr>
              <w:jc w:val="center"/>
              <w:rPr>
                <w:sz w:val="20"/>
                <w:szCs w:val="20"/>
              </w:rPr>
            </w:pPr>
            <w:r w:rsidRPr="000F7AD5">
              <w:rPr>
                <w:sz w:val="20"/>
                <w:szCs w:val="20"/>
              </w:rPr>
              <w:t xml:space="preserve">4 gallons of fuel oil per hour </w:t>
            </w:r>
          </w:p>
          <w:p w:rsidRPr="000F7AD5" w:rsidR="00735AEA" w:rsidP="00941D3D" w:rsidRDefault="00735AEA" w14:paraId="676E1FDD" w14:textId="5D417445">
            <w:pPr>
              <w:jc w:val="center"/>
              <w:rPr>
                <w:sz w:val="20"/>
                <w:szCs w:val="20"/>
              </w:rPr>
            </w:pPr>
            <w:r w:rsidRPr="000F7AD5">
              <w:rPr>
                <w:sz w:val="20"/>
                <w:szCs w:val="20"/>
              </w:rPr>
              <w:t>(&lt; 3 MMBtu/hr)</w:t>
            </w:r>
          </w:p>
        </w:tc>
        <w:tc>
          <w:tcPr>
            <w:tcW w:w="2526" w:type="dxa"/>
            <w:vAlign w:val="center"/>
          </w:tcPr>
          <w:p w:rsidRPr="000F7AD5" w:rsidR="00735AEA" w:rsidP="00FD662D" w:rsidRDefault="00735AEA" w14:paraId="06C94CE3" w14:textId="77777777">
            <w:pPr>
              <w:jc w:val="center"/>
              <w:rPr>
                <w:sz w:val="20"/>
                <w:szCs w:val="20"/>
              </w:rPr>
            </w:pPr>
            <w:r w:rsidRPr="000F7AD5">
              <w:rPr>
                <w:sz w:val="20"/>
                <w:szCs w:val="20"/>
              </w:rPr>
              <w:t>None</w:t>
            </w:r>
          </w:p>
        </w:tc>
      </w:tr>
      <w:tr w:rsidRPr="000F7AD5" w:rsidR="00735AEA" w:rsidTr="00FD662D" w14:paraId="19028054" w14:textId="77777777">
        <w:trPr>
          <w:cantSplit/>
          <w:trHeight w:val="20"/>
          <w:jc w:val="center"/>
        </w:trPr>
        <w:tc>
          <w:tcPr>
            <w:tcW w:w="1187" w:type="dxa"/>
            <w:vAlign w:val="center"/>
          </w:tcPr>
          <w:p w:rsidRPr="000F7AD5" w:rsidR="00735AEA" w:rsidP="00941D3D" w:rsidRDefault="00735AEA" w14:paraId="0E8AA117" w14:textId="77777777">
            <w:pPr>
              <w:jc w:val="center"/>
              <w:rPr>
                <w:sz w:val="20"/>
                <w:szCs w:val="20"/>
              </w:rPr>
            </w:pPr>
            <w:r w:rsidRPr="000F7AD5">
              <w:rPr>
                <w:sz w:val="20"/>
                <w:szCs w:val="20"/>
              </w:rPr>
              <w:t>EU14</w:t>
            </w:r>
          </w:p>
        </w:tc>
        <w:tc>
          <w:tcPr>
            <w:tcW w:w="3139" w:type="dxa"/>
            <w:vAlign w:val="center"/>
          </w:tcPr>
          <w:p w:rsidRPr="000F7AD5" w:rsidR="00735AEA" w:rsidP="00941D3D" w:rsidRDefault="00735AEA" w14:paraId="7752A36D" w14:textId="2BECC788">
            <w:pPr>
              <w:jc w:val="center"/>
              <w:rPr>
                <w:sz w:val="20"/>
                <w:szCs w:val="20"/>
              </w:rPr>
            </w:pPr>
            <w:r w:rsidRPr="000F7AD5">
              <w:rPr>
                <w:sz w:val="20"/>
                <w:szCs w:val="20"/>
              </w:rPr>
              <w:t>Cummins NH-220 Diesel</w:t>
            </w:r>
          </w:p>
          <w:p w:rsidRPr="000F7AD5" w:rsidR="00735AEA" w:rsidP="00941D3D" w:rsidRDefault="00735AEA" w14:paraId="38549604" w14:textId="77777777">
            <w:pPr>
              <w:jc w:val="center"/>
              <w:rPr>
                <w:sz w:val="20"/>
                <w:szCs w:val="20"/>
              </w:rPr>
            </w:pPr>
            <w:r w:rsidRPr="000F7AD5">
              <w:rPr>
                <w:sz w:val="20"/>
                <w:szCs w:val="20"/>
              </w:rPr>
              <w:t>(CI RICE) Fire Pump No.2</w:t>
            </w:r>
          </w:p>
        </w:tc>
        <w:tc>
          <w:tcPr>
            <w:tcW w:w="2706" w:type="dxa"/>
            <w:vAlign w:val="center"/>
          </w:tcPr>
          <w:p w:rsidRPr="000F7AD5" w:rsidR="00C7485A" w:rsidP="00941D3D" w:rsidRDefault="00735AEA" w14:paraId="3FE24CCC" w14:textId="77777777">
            <w:pPr>
              <w:jc w:val="center"/>
              <w:rPr>
                <w:sz w:val="20"/>
                <w:szCs w:val="20"/>
              </w:rPr>
            </w:pPr>
            <w:r w:rsidRPr="000F7AD5">
              <w:rPr>
                <w:sz w:val="20"/>
                <w:szCs w:val="20"/>
              </w:rPr>
              <w:t>4 gallons of fuel oil per hour</w:t>
            </w:r>
          </w:p>
          <w:p w:rsidRPr="000F7AD5" w:rsidR="00735AEA" w:rsidP="00941D3D" w:rsidRDefault="00735AEA" w14:paraId="200BF664" w14:textId="67A90613">
            <w:pPr>
              <w:jc w:val="center"/>
              <w:rPr>
                <w:sz w:val="20"/>
                <w:szCs w:val="20"/>
              </w:rPr>
            </w:pPr>
            <w:r w:rsidRPr="000F7AD5">
              <w:rPr>
                <w:sz w:val="20"/>
                <w:szCs w:val="20"/>
              </w:rPr>
              <w:t>(&lt; 3 MMBtu/hr)</w:t>
            </w:r>
          </w:p>
        </w:tc>
        <w:tc>
          <w:tcPr>
            <w:tcW w:w="2526" w:type="dxa"/>
            <w:vAlign w:val="center"/>
          </w:tcPr>
          <w:p w:rsidRPr="000F7AD5" w:rsidR="00735AEA" w:rsidP="00FD662D" w:rsidRDefault="00735AEA" w14:paraId="05F81321" w14:textId="77777777">
            <w:pPr>
              <w:jc w:val="center"/>
              <w:rPr>
                <w:sz w:val="20"/>
                <w:szCs w:val="20"/>
              </w:rPr>
            </w:pPr>
            <w:r w:rsidRPr="000F7AD5">
              <w:rPr>
                <w:sz w:val="20"/>
                <w:szCs w:val="20"/>
              </w:rPr>
              <w:t>None</w:t>
            </w:r>
          </w:p>
        </w:tc>
      </w:tr>
      <w:tr w:rsidRPr="000F7AD5" w:rsidR="00735AEA" w:rsidTr="00FD662D" w14:paraId="430B0C54" w14:textId="77777777">
        <w:trPr>
          <w:cantSplit/>
          <w:trHeight w:val="20"/>
          <w:jc w:val="center"/>
        </w:trPr>
        <w:tc>
          <w:tcPr>
            <w:tcW w:w="1187" w:type="dxa"/>
            <w:vAlign w:val="center"/>
          </w:tcPr>
          <w:p w:rsidRPr="000F7AD5" w:rsidR="00735AEA" w:rsidP="00941D3D" w:rsidRDefault="00735AEA" w14:paraId="1001D7DB" w14:textId="77777777">
            <w:pPr>
              <w:jc w:val="center"/>
              <w:rPr>
                <w:sz w:val="20"/>
                <w:szCs w:val="20"/>
              </w:rPr>
            </w:pPr>
            <w:r w:rsidRPr="000F7AD5">
              <w:rPr>
                <w:sz w:val="20"/>
                <w:szCs w:val="20"/>
              </w:rPr>
              <w:t>EU17</w:t>
            </w:r>
          </w:p>
        </w:tc>
        <w:tc>
          <w:tcPr>
            <w:tcW w:w="3139" w:type="dxa"/>
            <w:vAlign w:val="center"/>
          </w:tcPr>
          <w:p w:rsidRPr="000F7AD5" w:rsidR="00735AEA" w:rsidP="00941D3D" w:rsidRDefault="00735AEA" w14:paraId="31C2AF05" w14:textId="77777777">
            <w:pPr>
              <w:jc w:val="center"/>
              <w:rPr>
                <w:sz w:val="20"/>
                <w:szCs w:val="20"/>
              </w:rPr>
            </w:pPr>
            <w:r w:rsidRPr="000F7AD5">
              <w:rPr>
                <w:sz w:val="20"/>
                <w:szCs w:val="20"/>
              </w:rPr>
              <w:t>Aerosol Can Filling Line No. 5</w:t>
            </w:r>
          </w:p>
        </w:tc>
        <w:tc>
          <w:tcPr>
            <w:tcW w:w="2706" w:type="dxa"/>
            <w:vAlign w:val="center"/>
          </w:tcPr>
          <w:p w:rsidRPr="000F7AD5" w:rsidR="00735AEA" w:rsidP="00941D3D" w:rsidRDefault="00735AEA" w14:paraId="14C13114" w14:textId="35AF71B7">
            <w:pPr>
              <w:jc w:val="center"/>
              <w:rPr>
                <w:sz w:val="20"/>
                <w:szCs w:val="20"/>
              </w:rPr>
            </w:pPr>
            <w:r w:rsidRPr="000F7AD5">
              <w:rPr>
                <w:sz w:val="20"/>
                <w:szCs w:val="20"/>
              </w:rPr>
              <w:t>150 units per minute</w:t>
            </w:r>
          </w:p>
        </w:tc>
        <w:tc>
          <w:tcPr>
            <w:tcW w:w="2526" w:type="dxa"/>
            <w:vAlign w:val="center"/>
          </w:tcPr>
          <w:p w:rsidRPr="000F7AD5" w:rsidR="00735AEA" w:rsidP="00FD662D" w:rsidRDefault="00735AEA" w14:paraId="52849312" w14:textId="77777777">
            <w:pPr>
              <w:jc w:val="center"/>
              <w:rPr>
                <w:sz w:val="20"/>
                <w:szCs w:val="20"/>
              </w:rPr>
            </w:pPr>
            <w:r w:rsidRPr="000F7AD5">
              <w:rPr>
                <w:sz w:val="20"/>
                <w:szCs w:val="20"/>
              </w:rPr>
              <w:t>None</w:t>
            </w:r>
          </w:p>
        </w:tc>
      </w:tr>
      <w:tr w:rsidRPr="000F7AD5" w:rsidR="00735AEA" w:rsidTr="00FD662D" w14:paraId="33306986" w14:textId="77777777">
        <w:trPr>
          <w:cantSplit/>
          <w:trHeight w:val="20"/>
          <w:jc w:val="center"/>
        </w:trPr>
        <w:tc>
          <w:tcPr>
            <w:tcW w:w="1187" w:type="dxa"/>
            <w:vAlign w:val="center"/>
          </w:tcPr>
          <w:p w:rsidRPr="000F7AD5" w:rsidR="00735AEA" w:rsidP="00941D3D" w:rsidRDefault="00735AEA" w14:paraId="19E4D6D9" w14:textId="77777777">
            <w:pPr>
              <w:jc w:val="center"/>
              <w:rPr>
                <w:sz w:val="20"/>
                <w:szCs w:val="20"/>
              </w:rPr>
            </w:pPr>
            <w:r w:rsidRPr="000F7AD5">
              <w:rPr>
                <w:sz w:val="20"/>
                <w:szCs w:val="20"/>
              </w:rPr>
              <w:t>EU19</w:t>
            </w:r>
          </w:p>
        </w:tc>
        <w:tc>
          <w:tcPr>
            <w:tcW w:w="3139" w:type="dxa"/>
            <w:vAlign w:val="center"/>
          </w:tcPr>
          <w:p w:rsidRPr="000F7AD5" w:rsidR="00735AEA" w:rsidP="00941D3D" w:rsidRDefault="00735AEA" w14:paraId="7B12FE9F" w14:textId="77777777">
            <w:pPr>
              <w:jc w:val="center"/>
              <w:rPr>
                <w:sz w:val="20"/>
                <w:szCs w:val="20"/>
              </w:rPr>
            </w:pPr>
            <w:r w:rsidRPr="000F7AD5">
              <w:rPr>
                <w:sz w:val="20"/>
                <w:szCs w:val="20"/>
              </w:rPr>
              <w:t>Date Coding</w:t>
            </w:r>
          </w:p>
        </w:tc>
        <w:tc>
          <w:tcPr>
            <w:tcW w:w="2706" w:type="dxa"/>
            <w:vAlign w:val="center"/>
          </w:tcPr>
          <w:p w:rsidRPr="000F7AD5" w:rsidR="00735AEA" w:rsidP="00941D3D" w:rsidRDefault="00735AEA" w14:paraId="22BF1805" w14:textId="77777777">
            <w:pPr>
              <w:jc w:val="center"/>
              <w:rPr>
                <w:sz w:val="20"/>
                <w:szCs w:val="20"/>
              </w:rPr>
            </w:pPr>
            <w:r w:rsidRPr="000F7AD5">
              <w:rPr>
                <w:sz w:val="20"/>
                <w:szCs w:val="20"/>
              </w:rPr>
              <w:t>409,968,000 units per year</w:t>
            </w:r>
          </w:p>
        </w:tc>
        <w:tc>
          <w:tcPr>
            <w:tcW w:w="2526" w:type="dxa"/>
            <w:vAlign w:val="center"/>
          </w:tcPr>
          <w:p w:rsidRPr="000F7AD5" w:rsidR="00735AEA" w:rsidP="00FD662D" w:rsidRDefault="00735AEA" w14:paraId="18092DD8" w14:textId="77777777">
            <w:pPr>
              <w:jc w:val="center"/>
              <w:rPr>
                <w:sz w:val="20"/>
                <w:szCs w:val="20"/>
              </w:rPr>
            </w:pPr>
            <w:r w:rsidRPr="000F7AD5">
              <w:rPr>
                <w:sz w:val="20"/>
                <w:szCs w:val="20"/>
              </w:rPr>
              <w:t>None</w:t>
            </w:r>
          </w:p>
        </w:tc>
      </w:tr>
      <w:tr w:rsidRPr="000F7AD5" w:rsidR="00735AEA" w:rsidTr="00FD662D" w14:paraId="47A1D705" w14:textId="77777777">
        <w:trPr>
          <w:cantSplit/>
          <w:trHeight w:val="20"/>
          <w:jc w:val="center"/>
        </w:trPr>
        <w:tc>
          <w:tcPr>
            <w:tcW w:w="1187" w:type="dxa"/>
            <w:vAlign w:val="center"/>
          </w:tcPr>
          <w:p w:rsidRPr="000F7AD5" w:rsidR="00735AEA" w:rsidP="00941D3D" w:rsidRDefault="00735AEA" w14:paraId="634CFA0B" w14:textId="77777777">
            <w:pPr>
              <w:jc w:val="center"/>
              <w:rPr>
                <w:sz w:val="20"/>
                <w:szCs w:val="20"/>
              </w:rPr>
            </w:pPr>
            <w:r w:rsidRPr="000F7AD5">
              <w:rPr>
                <w:sz w:val="20"/>
                <w:szCs w:val="20"/>
              </w:rPr>
              <w:t>EU23</w:t>
            </w:r>
          </w:p>
        </w:tc>
        <w:tc>
          <w:tcPr>
            <w:tcW w:w="3139" w:type="dxa"/>
            <w:vAlign w:val="center"/>
          </w:tcPr>
          <w:p w:rsidRPr="000F7AD5" w:rsidR="00735AEA" w:rsidP="00941D3D" w:rsidRDefault="00735AEA" w14:paraId="1B2152F6" w14:textId="77777777">
            <w:pPr>
              <w:jc w:val="center"/>
              <w:rPr>
                <w:sz w:val="20"/>
                <w:szCs w:val="20"/>
              </w:rPr>
            </w:pPr>
            <w:r w:rsidRPr="000F7AD5">
              <w:rPr>
                <w:sz w:val="20"/>
                <w:szCs w:val="20"/>
              </w:rPr>
              <w:t>Gas Room and Critical Power Propane (SI RICE) Emergency Generator Kohler 30RZGB</w:t>
            </w:r>
          </w:p>
        </w:tc>
        <w:tc>
          <w:tcPr>
            <w:tcW w:w="2706" w:type="dxa"/>
            <w:vAlign w:val="center"/>
          </w:tcPr>
          <w:p w:rsidRPr="000F7AD5" w:rsidR="00735AEA" w:rsidP="00941D3D" w:rsidRDefault="00735AEA" w14:paraId="68786E79" w14:textId="77777777">
            <w:pPr>
              <w:jc w:val="center"/>
              <w:rPr>
                <w:sz w:val="20"/>
                <w:szCs w:val="20"/>
              </w:rPr>
            </w:pPr>
            <w:r w:rsidRPr="000F7AD5">
              <w:rPr>
                <w:sz w:val="20"/>
                <w:szCs w:val="20"/>
              </w:rPr>
              <w:t>30 kW output</w:t>
            </w:r>
          </w:p>
        </w:tc>
        <w:tc>
          <w:tcPr>
            <w:tcW w:w="2526" w:type="dxa"/>
            <w:vAlign w:val="center"/>
          </w:tcPr>
          <w:p w:rsidRPr="000F7AD5" w:rsidR="00735AEA" w:rsidP="00FD662D" w:rsidRDefault="00735AEA" w14:paraId="129DB7D3" w14:textId="77777777">
            <w:pPr>
              <w:jc w:val="center"/>
              <w:rPr>
                <w:sz w:val="20"/>
                <w:szCs w:val="20"/>
              </w:rPr>
            </w:pPr>
            <w:r w:rsidRPr="000F7AD5">
              <w:rPr>
                <w:sz w:val="20"/>
                <w:szCs w:val="20"/>
              </w:rPr>
              <w:t>None</w:t>
            </w:r>
          </w:p>
        </w:tc>
      </w:tr>
      <w:tr w:rsidRPr="000F7AD5" w:rsidR="00735AEA" w:rsidTr="00FD662D" w14:paraId="7625D4CD" w14:textId="77777777">
        <w:trPr>
          <w:cantSplit/>
          <w:trHeight w:val="20"/>
          <w:jc w:val="center"/>
        </w:trPr>
        <w:tc>
          <w:tcPr>
            <w:tcW w:w="1187" w:type="dxa"/>
            <w:vAlign w:val="center"/>
          </w:tcPr>
          <w:p w:rsidRPr="000F7AD5" w:rsidR="00735AEA" w:rsidP="00941D3D" w:rsidRDefault="00735AEA" w14:paraId="26C2AB97" w14:textId="77777777">
            <w:pPr>
              <w:jc w:val="center"/>
              <w:rPr>
                <w:sz w:val="20"/>
                <w:szCs w:val="20"/>
              </w:rPr>
            </w:pPr>
            <w:r w:rsidRPr="000F7AD5">
              <w:rPr>
                <w:sz w:val="20"/>
                <w:szCs w:val="20"/>
              </w:rPr>
              <w:t>EU24</w:t>
            </w:r>
          </w:p>
        </w:tc>
        <w:tc>
          <w:tcPr>
            <w:tcW w:w="3139" w:type="dxa"/>
            <w:vAlign w:val="center"/>
          </w:tcPr>
          <w:p w:rsidRPr="000F7AD5" w:rsidR="00735AEA" w:rsidP="00941D3D" w:rsidRDefault="00735AEA" w14:paraId="153D925B" w14:textId="77777777">
            <w:pPr>
              <w:jc w:val="center"/>
              <w:rPr>
                <w:sz w:val="20"/>
                <w:szCs w:val="20"/>
              </w:rPr>
            </w:pPr>
            <w:r w:rsidRPr="000F7AD5">
              <w:rPr>
                <w:sz w:val="20"/>
                <w:szCs w:val="20"/>
              </w:rPr>
              <w:t>LMR Sump and Emergency Power Propane (SI RICE) Emergency Generator Kohler 30RZGB</w:t>
            </w:r>
          </w:p>
        </w:tc>
        <w:tc>
          <w:tcPr>
            <w:tcW w:w="2706" w:type="dxa"/>
            <w:vAlign w:val="center"/>
          </w:tcPr>
          <w:p w:rsidRPr="000F7AD5" w:rsidR="00735AEA" w:rsidP="00941D3D" w:rsidRDefault="00735AEA" w14:paraId="76246002" w14:textId="77777777">
            <w:pPr>
              <w:jc w:val="center"/>
              <w:rPr>
                <w:sz w:val="20"/>
                <w:szCs w:val="20"/>
              </w:rPr>
            </w:pPr>
            <w:r w:rsidRPr="000F7AD5">
              <w:rPr>
                <w:sz w:val="20"/>
                <w:szCs w:val="20"/>
              </w:rPr>
              <w:t>30 kW output</w:t>
            </w:r>
          </w:p>
        </w:tc>
        <w:tc>
          <w:tcPr>
            <w:tcW w:w="2526" w:type="dxa"/>
            <w:vAlign w:val="center"/>
          </w:tcPr>
          <w:p w:rsidRPr="000F7AD5" w:rsidR="00735AEA" w:rsidP="00FD662D" w:rsidRDefault="00735AEA" w14:paraId="22F39848" w14:textId="77777777">
            <w:pPr>
              <w:jc w:val="center"/>
              <w:rPr>
                <w:sz w:val="20"/>
                <w:szCs w:val="20"/>
              </w:rPr>
            </w:pPr>
            <w:r w:rsidRPr="000F7AD5">
              <w:rPr>
                <w:sz w:val="20"/>
                <w:szCs w:val="20"/>
              </w:rPr>
              <w:t>None</w:t>
            </w:r>
          </w:p>
        </w:tc>
      </w:tr>
      <w:tr w:rsidRPr="000F7AD5" w:rsidR="00735AEA" w:rsidTr="00BE6D48" w14:paraId="5D39540E" w14:textId="77777777">
        <w:trPr>
          <w:cantSplit/>
          <w:trHeight w:val="20"/>
          <w:jc w:val="center"/>
        </w:trPr>
        <w:tc>
          <w:tcPr>
            <w:tcW w:w="1187" w:type="dxa"/>
            <w:vAlign w:val="center"/>
          </w:tcPr>
          <w:p w:rsidRPr="000F7AD5" w:rsidR="00735AEA" w:rsidP="00941D3D" w:rsidRDefault="00735AEA" w14:paraId="2461A3BA" w14:textId="77777777">
            <w:pPr>
              <w:jc w:val="center"/>
              <w:rPr>
                <w:sz w:val="20"/>
                <w:szCs w:val="20"/>
              </w:rPr>
            </w:pPr>
            <w:r w:rsidRPr="000F7AD5">
              <w:rPr>
                <w:sz w:val="20"/>
                <w:szCs w:val="20"/>
              </w:rPr>
              <w:t>EU25</w:t>
            </w:r>
          </w:p>
        </w:tc>
        <w:tc>
          <w:tcPr>
            <w:tcW w:w="3139" w:type="dxa"/>
            <w:vAlign w:val="center"/>
          </w:tcPr>
          <w:p w:rsidRPr="000F7AD5" w:rsidR="00735AEA" w:rsidP="00941D3D" w:rsidRDefault="00735AEA" w14:paraId="50D2D5BC" w14:textId="3DCCA1C7">
            <w:pPr>
              <w:jc w:val="center"/>
              <w:rPr>
                <w:sz w:val="20"/>
                <w:szCs w:val="20"/>
              </w:rPr>
            </w:pPr>
            <w:r w:rsidRPr="000D19BB">
              <w:rPr>
                <w:sz w:val="20"/>
                <w:szCs w:val="20"/>
              </w:rPr>
              <w:t>Miscellaneous Gas Room venting, changeovers, evacuations and head repairs</w:t>
            </w:r>
            <w:r w:rsidRPr="000D19BB" w:rsidR="00AC3611">
              <w:rPr>
                <w:sz w:val="20"/>
                <w:szCs w:val="20"/>
              </w:rPr>
              <w:t>.</w:t>
            </w:r>
          </w:p>
        </w:tc>
        <w:tc>
          <w:tcPr>
            <w:tcW w:w="2706" w:type="dxa"/>
            <w:vAlign w:val="center"/>
          </w:tcPr>
          <w:p w:rsidRPr="000F7AD5" w:rsidR="00735AEA" w:rsidP="00BE6D48" w:rsidRDefault="00735AEA" w14:paraId="435E6BDB" w14:textId="77777777">
            <w:pPr>
              <w:jc w:val="center"/>
              <w:rPr>
                <w:sz w:val="20"/>
                <w:szCs w:val="20"/>
              </w:rPr>
            </w:pPr>
            <w:r w:rsidRPr="000F7AD5">
              <w:rPr>
                <w:sz w:val="20"/>
                <w:szCs w:val="20"/>
              </w:rPr>
              <w:t>N/A - activity performed as per maintenance and production schedule</w:t>
            </w:r>
          </w:p>
        </w:tc>
        <w:tc>
          <w:tcPr>
            <w:tcW w:w="2526" w:type="dxa"/>
            <w:vAlign w:val="center"/>
          </w:tcPr>
          <w:p w:rsidRPr="000F7AD5" w:rsidR="00735AEA" w:rsidP="00BE6D48" w:rsidRDefault="00735AEA" w14:paraId="32896D78" w14:textId="77777777">
            <w:pPr>
              <w:jc w:val="center"/>
              <w:rPr>
                <w:sz w:val="20"/>
                <w:szCs w:val="20"/>
              </w:rPr>
            </w:pPr>
            <w:r w:rsidRPr="000F7AD5">
              <w:rPr>
                <w:sz w:val="20"/>
                <w:szCs w:val="20"/>
              </w:rPr>
              <w:t>None</w:t>
            </w:r>
          </w:p>
        </w:tc>
      </w:tr>
      <w:tr w:rsidRPr="000F7AD5" w:rsidR="00735AEA" w:rsidTr="005F3E1A" w14:paraId="084D901A" w14:textId="77777777">
        <w:trPr>
          <w:cantSplit/>
          <w:trHeight w:val="20"/>
          <w:jc w:val="center"/>
        </w:trPr>
        <w:tc>
          <w:tcPr>
            <w:tcW w:w="1187" w:type="dxa"/>
            <w:vAlign w:val="center"/>
          </w:tcPr>
          <w:p w:rsidRPr="000F7AD5" w:rsidR="00735AEA" w:rsidP="00941D3D" w:rsidRDefault="00735AEA" w14:paraId="7B5A9784" w14:textId="77777777">
            <w:pPr>
              <w:jc w:val="center"/>
              <w:rPr>
                <w:sz w:val="20"/>
                <w:szCs w:val="20"/>
              </w:rPr>
            </w:pPr>
            <w:r w:rsidRPr="000F7AD5">
              <w:rPr>
                <w:sz w:val="20"/>
                <w:szCs w:val="20"/>
              </w:rPr>
              <w:t>EU26</w:t>
            </w:r>
          </w:p>
        </w:tc>
        <w:tc>
          <w:tcPr>
            <w:tcW w:w="3139" w:type="dxa"/>
            <w:shd w:val="clear" w:color="auto" w:fill="auto"/>
            <w:vAlign w:val="center"/>
          </w:tcPr>
          <w:p w:rsidRPr="000F7AD5" w:rsidR="00735AEA" w:rsidP="00941D3D" w:rsidRDefault="00735AEA" w14:paraId="5D739B83" w14:textId="2A94A0E0">
            <w:pPr>
              <w:jc w:val="center"/>
              <w:rPr>
                <w:sz w:val="20"/>
                <w:szCs w:val="20"/>
              </w:rPr>
            </w:pPr>
            <w:r w:rsidRPr="000F7AD5">
              <w:rPr>
                <w:sz w:val="20"/>
                <w:szCs w:val="20"/>
              </w:rPr>
              <w:t>Cleaning / Sanitizing alcohol usage (70% etha</w:t>
            </w:r>
            <w:r w:rsidRPr="005F3E1A">
              <w:rPr>
                <w:sz w:val="20"/>
                <w:szCs w:val="20"/>
              </w:rPr>
              <w:t>nol) for</w:t>
            </w:r>
            <w:r w:rsidR="005F3E1A">
              <w:rPr>
                <w:sz w:val="20"/>
                <w:szCs w:val="20"/>
              </w:rPr>
              <w:t xml:space="preserve"> </w:t>
            </w:r>
            <w:r w:rsidRPr="005F3E1A" w:rsidR="0039094B">
              <w:rPr>
                <w:sz w:val="20"/>
                <w:szCs w:val="20"/>
              </w:rPr>
              <w:t xml:space="preserve">QA/QC </w:t>
            </w:r>
            <w:r w:rsidRPr="005F3E1A">
              <w:rPr>
                <w:sz w:val="20"/>
                <w:szCs w:val="20"/>
              </w:rPr>
              <w:t>Operations</w:t>
            </w:r>
          </w:p>
        </w:tc>
        <w:tc>
          <w:tcPr>
            <w:tcW w:w="2706" w:type="dxa"/>
            <w:vAlign w:val="center"/>
          </w:tcPr>
          <w:p w:rsidRPr="000F7AD5" w:rsidR="00735AEA" w:rsidP="00BE6D48" w:rsidRDefault="00735AEA" w14:paraId="3721D478" w14:textId="6F65214B">
            <w:pPr>
              <w:jc w:val="center"/>
              <w:rPr>
                <w:sz w:val="20"/>
                <w:szCs w:val="20"/>
              </w:rPr>
            </w:pPr>
            <w:r w:rsidRPr="000F7AD5">
              <w:rPr>
                <w:sz w:val="20"/>
                <w:szCs w:val="20"/>
              </w:rPr>
              <w:t>70% ethanol used for microbial control on equipment from hand wiping operations, (spray/squirt bottles, etc.)</w:t>
            </w:r>
          </w:p>
        </w:tc>
        <w:tc>
          <w:tcPr>
            <w:tcW w:w="2526" w:type="dxa"/>
            <w:vAlign w:val="center"/>
          </w:tcPr>
          <w:p w:rsidRPr="000F7AD5" w:rsidR="00735AEA" w:rsidP="00BE6D48" w:rsidRDefault="00735AEA" w14:paraId="0A981AEC" w14:textId="77777777">
            <w:pPr>
              <w:jc w:val="center"/>
              <w:rPr>
                <w:sz w:val="20"/>
                <w:szCs w:val="20"/>
              </w:rPr>
            </w:pPr>
            <w:r w:rsidRPr="000F7AD5">
              <w:rPr>
                <w:sz w:val="20"/>
                <w:szCs w:val="20"/>
              </w:rPr>
              <w:t>None</w:t>
            </w:r>
          </w:p>
        </w:tc>
      </w:tr>
      <w:tr w:rsidRPr="000F7AD5" w:rsidR="005B5510" w:rsidTr="0073742E" w14:paraId="52C904B5" w14:textId="77777777">
        <w:trPr>
          <w:cantSplit/>
          <w:trHeight w:val="20"/>
          <w:jc w:val="center"/>
        </w:trPr>
        <w:tc>
          <w:tcPr>
            <w:tcW w:w="1187" w:type="dxa"/>
            <w:shd w:val="clear" w:color="auto" w:fill="auto"/>
          </w:tcPr>
          <w:p w:rsidRPr="0073742E" w:rsidR="005B5510" w:rsidP="005B5510" w:rsidRDefault="005B5510" w14:paraId="4BEFB25A" w14:textId="3B54B202">
            <w:pPr>
              <w:jc w:val="center"/>
              <w:rPr>
                <w:sz w:val="20"/>
                <w:szCs w:val="20"/>
              </w:rPr>
            </w:pPr>
            <w:r w:rsidRPr="0073742E">
              <w:rPr>
                <w:sz w:val="20"/>
                <w:szCs w:val="20"/>
              </w:rPr>
              <w:t>EU27</w:t>
            </w:r>
            <w:r w:rsidRPr="00822EBD" w:rsidR="00822EBD">
              <w:rPr>
                <w:sz w:val="20"/>
                <w:szCs w:val="20"/>
                <w:vertAlign w:val="superscript"/>
              </w:rPr>
              <w:t>b</w:t>
            </w:r>
          </w:p>
        </w:tc>
        <w:tc>
          <w:tcPr>
            <w:tcW w:w="3139" w:type="dxa"/>
            <w:shd w:val="clear" w:color="auto" w:fill="auto"/>
          </w:tcPr>
          <w:p w:rsidRPr="0073742E" w:rsidR="005B5510" w:rsidP="005B5510" w:rsidRDefault="005B6307" w14:paraId="459A11B1" w14:textId="7A9CC92E">
            <w:pPr>
              <w:jc w:val="center"/>
              <w:rPr>
                <w:sz w:val="20"/>
                <w:szCs w:val="20"/>
              </w:rPr>
            </w:pPr>
            <w:r w:rsidRPr="0073742E">
              <w:rPr>
                <w:sz w:val="20"/>
                <w:szCs w:val="20"/>
              </w:rPr>
              <w:t>L</w:t>
            </w:r>
            <w:r w:rsidRPr="0073742E" w:rsidR="005B5510">
              <w:rPr>
                <w:sz w:val="20"/>
                <w:szCs w:val="20"/>
              </w:rPr>
              <w:t>ubricating oil usage in</w:t>
            </w:r>
            <w:r w:rsidRPr="0073742E">
              <w:rPr>
                <w:sz w:val="20"/>
                <w:szCs w:val="20"/>
              </w:rPr>
              <w:t xml:space="preserve"> three</w:t>
            </w:r>
            <w:r w:rsidR="00FB6AED">
              <w:rPr>
                <w:sz w:val="20"/>
                <w:szCs w:val="20"/>
              </w:rPr>
              <w:t xml:space="preserve"> new</w:t>
            </w:r>
            <w:r w:rsidRPr="0073742E" w:rsidR="005B5510">
              <w:rPr>
                <w:sz w:val="20"/>
                <w:szCs w:val="20"/>
              </w:rPr>
              <w:t xml:space="preserve"> blade perforation </w:t>
            </w:r>
            <w:r w:rsidRPr="0073742E">
              <w:rPr>
                <w:sz w:val="20"/>
                <w:szCs w:val="20"/>
              </w:rPr>
              <w:t xml:space="preserve">presses </w:t>
            </w:r>
          </w:p>
        </w:tc>
        <w:tc>
          <w:tcPr>
            <w:tcW w:w="2706" w:type="dxa"/>
            <w:shd w:val="clear" w:color="auto" w:fill="auto"/>
            <w:vAlign w:val="center"/>
          </w:tcPr>
          <w:p w:rsidRPr="0073742E" w:rsidR="005B5510" w:rsidP="00BE6D48" w:rsidRDefault="005B5510" w14:paraId="42A59BD3" w14:textId="468E3173">
            <w:pPr>
              <w:jc w:val="center"/>
              <w:rPr>
                <w:sz w:val="20"/>
                <w:szCs w:val="20"/>
              </w:rPr>
            </w:pPr>
            <w:r w:rsidRPr="0073742E">
              <w:rPr>
                <w:sz w:val="20"/>
                <w:szCs w:val="20"/>
              </w:rPr>
              <w:t>0.21 gallons per hour</w:t>
            </w:r>
          </w:p>
        </w:tc>
        <w:tc>
          <w:tcPr>
            <w:tcW w:w="2526" w:type="dxa"/>
            <w:shd w:val="clear" w:color="auto" w:fill="auto"/>
            <w:vAlign w:val="center"/>
          </w:tcPr>
          <w:p w:rsidRPr="0073742E" w:rsidR="005B5510" w:rsidP="00BE6D48" w:rsidRDefault="005B5510" w14:paraId="6657D666" w14:textId="580BD4FA">
            <w:pPr>
              <w:jc w:val="center"/>
              <w:rPr>
                <w:sz w:val="20"/>
                <w:szCs w:val="20"/>
              </w:rPr>
            </w:pPr>
            <w:r w:rsidRPr="0073742E">
              <w:rPr>
                <w:sz w:val="20"/>
                <w:szCs w:val="20"/>
              </w:rPr>
              <w:t>None</w:t>
            </w:r>
          </w:p>
        </w:tc>
      </w:tr>
      <w:tr w:rsidRPr="000F7AD5" w:rsidR="005B5510" w:rsidTr="0073742E" w14:paraId="26BAE7BE" w14:textId="77777777">
        <w:trPr>
          <w:cantSplit/>
          <w:trHeight w:val="20"/>
          <w:jc w:val="center"/>
        </w:trPr>
        <w:tc>
          <w:tcPr>
            <w:tcW w:w="1187" w:type="dxa"/>
            <w:shd w:val="clear" w:color="auto" w:fill="auto"/>
          </w:tcPr>
          <w:p w:rsidRPr="0073742E" w:rsidR="005B5510" w:rsidP="005B5510" w:rsidRDefault="005B5510" w14:paraId="3613424A" w14:textId="3B3DD85C">
            <w:pPr>
              <w:jc w:val="center"/>
              <w:rPr>
                <w:sz w:val="20"/>
                <w:szCs w:val="20"/>
              </w:rPr>
            </w:pPr>
            <w:r w:rsidRPr="0073742E">
              <w:rPr>
                <w:sz w:val="20"/>
                <w:szCs w:val="20"/>
              </w:rPr>
              <w:t>EU28</w:t>
            </w:r>
            <w:r w:rsidRPr="00822EBD" w:rsidR="00822EBD">
              <w:rPr>
                <w:sz w:val="20"/>
                <w:szCs w:val="20"/>
                <w:vertAlign w:val="superscript"/>
              </w:rPr>
              <w:t>b</w:t>
            </w:r>
          </w:p>
        </w:tc>
        <w:tc>
          <w:tcPr>
            <w:tcW w:w="3139" w:type="dxa"/>
            <w:shd w:val="clear" w:color="auto" w:fill="auto"/>
          </w:tcPr>
          <w:p w:rsidRPr="0073742E" w:rsidR="005B5510" w:rsidP="005B5510" w:rsidRDefault="005B5510" w14:paraId="1BE2D871" w14:textId="64B7B26D">
            <w:pPr>
              <w:jc w:val="center"/>
              <w:rPr>
                <w:sz w:val="20"/>
                <w:szCs w:val="20"/>
              </w:rPr>
            </w:pPr>
            <w:r w:rsidRPr="0073742E">
              <w:rPr>
                <w:sz w:val="20"/>
                <w:szCs w:val="20"/>
              </w:rPr>
              <w:t xml:space="preserve">Isopropanol usage in QA / QC cleaning of </w:t>
            </w:r>
            <w:r w:rsidR="00D56063">
              <w:rPr>
                <w:sz w:val="20"/>
                <w:szCs w:val="20"/>
              </w:rPr>
              <w:t xml:space="preserve">new </w:t>
            </w:r>
            <w:r w:rsidRPr="0073742E">
              <w:rPr>
                <w:sz w:val="20"/>
                <w:szCs w:val="20"/>
              </w:rPr>
              <w:t>injection molding equipment</w:t>
            </w:r>
          </w:p>
        </w:tc>
        <w:tc>
          <w:tcPr>
            <w:tcW w:w="2706" w:type="dxa"/>
            <w:shd w:val="clear" w:color="auto" w:fill="auto"/>
            <w:vAlign w:val="center"/>
          </w:tcPr>
          <w:p w:rsidRPr="0073742E" w:rsidR="005B5510" w:rsidP="00BE6D48" w:rsidRDefault="005B5510" w14:paraId="68962C6F" w14:textId="014EB047">
            <w:pPr>
              <w:jc w:val="center"/>
              <w:rPr>
                <w:sz w:val="20"/>
                <w:szCs w:val="20"/>
              </w:rPr>
            </w:pPr>
            <w:r w:rsidRPr="0073742E">
              <w:rPr>
                <w:sz w:val="20"/>
                <w:szCs w:val="20"/>
              </w:rPr>
              <w:t>90-100% isopropanol used in cleaning operations (spray/squirt bottles, etc.)</w:t>
            </w:r>
          </w:p>
        </w:tc>
        <w:tc>
          <w:tcPr>
            <w:tcW w:w="2526" w:type="dxa"/>
            <w:shd w:val="clear" w:color="auto" w:fill="auto"/>
            <w:vAlign w:val="center"/>
          </w:tcPr>
          <w:p w:rsidRPr="0073742E" w:rsidR="005B5510" w:rsidP="00BE6D48" w:rsidRDefault="005B5510" w14:paraId="64337FCE" w14:textId="069CC68A">
            <w:pPr>
              <w:jc w:val="center"/>
              <w:rPr>
                <w:sz w:val="20"/>
                <w:szCs w:val="20"/>
              </w:rPr>
            </w:pPr>
            <w:r w:rsidRPr="0073742E">
              <w:rPr>
                <w:sz w:val="20"/>
                <w:szCs w:val="20"/>
              </w:rPr>
              <w:t>None</w:t>
            </w:r>
          </w:p>
        </w:tc>
      </w:tr>
      <w:tr w:rsidRPr="000F7AD5" w:rsidR="005B5510" w:rsidTr="0073742E" w14:paraId="445E6926" w14:textId="77777777">
        <w:trPr>
          <w:cantSplit/>
          <w:trHeight w:val="20"/>
          <w:jc w:val="center"/>
        </w:trPr>
        <w:tc>
          <w:tcPr>
            <w:tcW w:w="1187" w:type="dxa"/>
            <w:shd w:val="clear" w:color="auto" w:fill="auto"/>
          </w:tcPr>
          <w:p w:rsidRPr="0073742E" w:rsidR="005B5510" w:rsidP="005B5510" w:rsidRDefault="005B5510" w14:paraId="131F47E3" w14:textId="4EA20EE6">
            <w:pPr>
              <w:jc w:val="center"/>
              <w:rPr>
                <w:sz w:val="20"/>
                <w:szCs w:val="20"/>
              </w:rPr>
            </w:pPr>
            <w:r w:rsidRPr="0073742E">
              <w:rPr>
                <w:sz w:val="20"/>
                <w:szCs w:val="20"/>
              </w:rPr>
              <w:t>EU29</w:t>
            </w:r>
            <w:r w:rsidRPr="00822EBD" w:rsidR="00822EBD">
              <w:rPr>
                <w:sz w:val="20"/>
                <w:szCs w:val="20"/>
                <w:vertAlign w:val="superscript"/>
              </w:rPr>
              <w:t>b</w:t>
            </w:r>
          </w:p>
        </w:tc>
        <w:tc>
          <w:tcPr>
            <w:tcW w:w="3139" w:type="dxa"/>
            <w:shd w:val="clear" w:color="auto" w:fill="auto"/>
          </w:tcPr>
          <w:p w:rsidRPr="0073742E" w:rsidR="005B5510" w:rsidP="005B5510" w:rsidRDefault="005B5510" w14:paraId="3215856A" w14:textId="09F169DF">
            <w:pPr>
              <w:jc w:val="center"/>
              <w:rPr>
                <w:sz w:val="20"/>
                <w:szCs w:val="20"/>
              </w:rPr>
            </w:pPr>
            <w:r w:rsidRPr="0073742E">
              <w:rPr>
                <w:sz w:val="20"/>
                <w:szCs w:val="20"/>
              </w:rPr>
              <w:t xml:space="preserve">Various </w:t>
            </w:r>
            <w:r w:rsidR="00E609CD">
              <w:rPr>
                <w:sz w:val="20"/>
                <w:szCs w:val="20"/>
              </w:rPr>
              <w:t xml:space="preserve">new </w:t>
            </w:r>
            <w:r w:rsidRPr="0073742E">
              <w:rPr>
                <w:sz w:val="20"/>
                <w:szCs w:val="20"/>
              </w:rPr>
              <w:t>blade treatment and razor manufacturing operations</w:t>
            </w:r>
          </w:p>
        </w:tc>
        <w:tc>
          <w:tcPr>
            <w:tcW w:w="2706" w:type="dxa"/>
            <w:shd w:val="clear" w:color="auto" w:fill="auto"/>
            <w:vAlign w:val="center"/>
          </w:tcPr>
          <w:p w:rsidRPr="0073742E" w:rsidR="005B5510" w:rsidP="00BE6D48" w:rsidRDefault="005B5510" w14:paraId="7EAC04F4" w14:textId="7E3918D8">
            <w:pPr>
              <w:jc w:val="center"/>
              <w:rPr>
                <w:sz w:val="20"/>
                <w:szCs w:val="20"/>
              </w:rPr>
            </w:pPr>
            <w:r w:rsidRPr="0073742E">
              <w:rPr>
                <w:sz w:val="20"/>
                <w:szCs w:val="20"/>
              </w:rPr>
              <w:t>NA</w:t>
            </w:r>
          </w:p>
        </w:tc>
        <w:tc>
          <w:tcPr>
            <w:tcW w:w="2526" w:type="dxa"/>
            <w:shd w:val="clear" w:color="auto" w:fill="auto"/>
            <w:vAlign w:val="center"/>
          </w:tcPr>
          <w:p w:rsidRPr="0073742E" w:rsidR="005B5510" w:rsidP="00BE6D48" w:rsidRDefault="005B5510" w14:paraId="2846EF7D" w14:textId="27DFC1A6">
            <w:pPr>
              <w:jc w:val="center"/>
              <w:rPr>
                <w:sz w:val="20"/>
                <w:szCs w:val="20"/>
              </w:rPr>
            </w:pPr>
            <w:r w:rsidRPr="0073742E">
              <w:rPr>
                <w:sz w:val="20"/>
                <w:szCs w:val="20"/>
              </w:rPr>
              <w:t>None</w:t>
            </w:r>
          </w:p>
        </w:tc>
      </w:tr>
      <w:tr w:rsidRPr="000F7AD5" w:rsidR="00654FD6" w:rsidTr="00654FD6" w14:paraId="5362A04F" w14:textId="77777777">
        <w:trPr>
          <w:cantSplit/>
          <w:trHeight w:val="20"/>
          <w:jc w:val="center"/>
        </w:trPr>
        <w:tc>
          <w:tcPr>
            <w:tcW w:w="1187" w:type="dxa"/>
            <w:shd w:val="clear" w:color="auto" w:fill="auto"/>
          </w:tcPr>
          <w:p w:rsidRPr="0073742E" w:rsidR="00654FD6" w:rsidP="00654FD6" w:rsidRDefault="00654FD6" w14:paraId="1203E35A" w14:textId="3A22605A">
            <w:pPr>
              <w:jc w:val="center"/>
              <w:rPr>
                <w:sz w:val="20"/>
                <w:szCs w:val="20"/>
              </w:rPr>
            </w:pPr>
            <w:r>
              <w:rPr>
                <w:sz w:val="20"/>
                <w:szCs w:val="20"/>
              </w:rPr>
              <w:t>Industrial Cleaning Solvents</w:t>
            </w:r>
            <w:r w:rsidRPr="00822EBD" w:rsidR="00822EBD">
              <w:rPr>
                <w:sz w:val="20"/>
                <w:szCs w:val="20"/>
                <w:vertAlign w:val="superscript"/>
              </w:rPr>
              <w:t>b</w:t>
            </w:r>
          </w:p>
        </w:tc>
        <w:tc>
          <w:tcPr>
            <w:tcW w:w="3139" w:type="dxa"/>
            <w:shd w:val="clear" w:color="auto" w:fill="auto"/>
            <w:vAlign w:val="center"/>
          </w:tcPr>
          <w:p w:rsidRPr="0073742E" w:rsidR="00654FD6" w:rsidP="00654FD6" w:rsidRDefault="00654FD6" w14:paraId="3A35B34F" w14:textId="519EEAFA">
            <w:pPr>
              <w:jc w:val="center"/>
              <w:rPr>
                <w:sz w:val="20"/>
                <w:szCs w:val="20"/>
              </w:rPr>
            </w:pPr>
            <w:r>
              <w:rPr>
                <w:sz w:val="20"/>
                <w:szCs w:val="20"/>
              </w:rPr>
              <w:t>Industrial Cleaning Solvents</w:t>
            </w:r>
          </w:p>
        </w:tc>
        <w:tc>
          <w:tcPr>
            <w:tcW w:w="2706" w:type="dxa"/>
            <w:shd w:val="clear" w:color="auto" w:fill="auto"/>
            <w:vAlign w:val="center"/>
          </w:tcPr>
          <w:p w:rsidRPr="0073742E" w:rsidR="00654FD6" w:rsidP="00654FD6" w:rsidRDefault="00654FD6" w14:paraId="392CBFB5" w14:textId="58A95DAC">
            <w:pPr>
              <w:jc w:val="center"/>
              <w:rPr>
                <w:sz w:val="20"/>
                <w:szCs w:val="20"/>
              </w:rPr>
            </w:pPr>
            <w:r>
              <w:rPr>
                <w:sz w:val="20"/>
                <w:szCs w:val="20"/>
              </w:rPr>
              <w:t>Less than 2.9 TPY of VOC emissions</w:t>
            </w:r>
          </w:p>
        </w:tc>
        <w:tc>
          <w:tcPr>
            <w:tcW w:w="2526" w:type="dxa"/>
            <w:shd w:val="clear" w:color="auto" w:fill="auto"/>
            <w:vAlign w:val="center"/>
          </w:tcPr>
          <w:p w:rsidRPr="0073742E" w:rsidR="00654FD6" w:rsidP="00654FD6" w:rsidRDefault="00654FD6" w14:paraId="04C34CB6" w14:textId="7F6CB3CB">
            <w:pPr>
              <w:jc w:val="center"/>
              <w:rPr>
                <w:sz w:val="20"/>
                <w:szCs w:val="20"/>
              </w:rPr>
            </w:pPr>
            <w:r>
              <w:rPr>
                <w:spacing w:val="-5"/>
                <w:sz w:val="20"/>
                <w:szCs w:val="20"/>
              </w:rPr>
              <w:t>None</w:t>
            </w:r>
          </w:p>
        </w:tc>
      </w:tr>
    </w:tbl>
    <w:p w:rsidRPr="000F7AD5" w:rsidR="000F46E1" w:rsidP="005025D6" w:rsidRDefault="000F46E1" w14:paraId="4EDA758A" w14:textId="77777777">
      <w:pPr>
        <w:rPr>
          <w:sz w:val="20"/>
          <w:szCs w:val="20"/>
        </w:rPr>
      </w:pPr>
    </w:p>
    <w:p w:rsidRPr="000F7AD5" w:rsidR="00EB0636" w:rsidP="00EB0636" w:rsidRDefault="00EB0636" w14:paraId="55BEAEF0" w14:textId="77777777">
      <w:pPr>
        <w:tabs>
          <w:tab w:val="left" w:pos="-720"/>
          <w:tab w:val="left" w:pos="360"/>
        </w:tabs>
        <w:suppressAutoHyphens/>
        <w:ind w:left="360"/>
        <w:rPr>
          <w:b/>
          <w:bCs/>
          <w:spacing w:val="-2"/>
          <w:sz w:val="20"/>
        </w:rPr>
      </w:pPr>
      <w:r w:rsidRPr="000F7AD5">
        <w:rPr>
          <w:b/>
          <w:bCs/>
          <w:spacing w:val="-2"/>
          <w:sz w:val="20"/>
        </w:rPr>
        <w:t>Table 1 Key:</w:t>
      </w:r>
    </w:p>
    <w:p w:rsidRPr="000F7AD5" w:rsidR="00EB0636" w:rsidP="00EB0636" w:rsidRDefault="00EB0636" w14:paraId="0F4A14AB" w14:textId="77777777">
      <w:pPr>
        <w:tabs>
          <w:tab w:val="left" w:pos="-720"/>
          <w:tab w:val="left" w:pos="360"/>
        </w:tabs>
        <w:suppressAutoHyphens/>
        <w:ind w:left="360"/>
        <w:rPr>
          <w:bCs/>
          <w:spacing w:val="-2"/>
          <w:sz w:val="20"/>
        </w:rPr>
      </w:pPr>
    </w:p>
    <w:p w:rsidRPr="000F7AD5" w:rsidR="00EB0636" w:rsidP="00EB0636" w:rsidRDefault="00EB0636" w14:paraId="280791AE" w14:textId="7620D45D">
      <w:pPr>
        <w:tabs>
          <w:tab w:val="left" w:pos="-720"/>
          <w:tab w:val="left" w:pos="360"/>
        </w:tabs>
        <w:suppressAutoHyphens/>
        <w:ind w:left="360"/>
        <w:rPr>
          <w:bCs/>
          <w:spacing w:val="-2"/>
          <w:sz w:val="20"/>
        </w:rPr>
      </w:pPr>
      <w:r w:rsidRPr="000F7AD5">
        <w:rPr>
          <w:bCs/>
          <w:spacing w:val="-2"/>
          <w:sz w:val="20"/>
        </w:rPr>
        <w:t xml:space="preserve">EU = Emission Unit </w:t>
      </w:r>
    </w:p>
    <w:p w:rsidRPr="000F7AD5" w:rsidR="00EB0636" w:rsidP="00EB0636" w:rsidRDefault="00EB0636" w14:paraId="456C8478" w14:textId="77777777">
      <w:pPr>
        <w:tabs>
          <w:tab w:val="left" w:pos="-720"/>
          <w:tab w:val="left" w:pos="360"/>
        </w:tabs>
        <w:suppressAutoHyphens/>
        <w:ind w:left="360"/>
        <w:rPr>
          <w:bCs/>
          <w:spacing w:val="-2"/>
          <w:sz w:val="20"/>
        </w:rPr>
      </w:pPr>
      <w:r w:rsidRPr="000F7AD5">
        <w:rPr>
          <w:spacing w:val="-2"/>
          <w:sz w:val="20"/>
        </w:rPr>
        <w:t>PCD = Pollution Control Device</w:t>
      </w:r>
    </w:p>
    <w:p w:rsidRPr="000F7AD5" w:rsidR="00EB0636" w:rsidP="00EB0636" w:rsidRDefault="00EB0636" w14:paraId="6F22DBA3" w14:textId="77777777">
      <w:pPr>
        <w:tabs>
          <w:tab w:val="left" w:pos="-720"/>
          <w:tab w:val="left" w:pos="360"/>
        </w:tabs>
        <w:suppressAutoHyphens/>
        <w:ind w:left="360"/>
        <w:rPr>
          <w:bCs/>
          <w:spacing w:val="-2"/>
          <w:sz w:val="20"/>
        </w:rPr>
      </w:pPr>
      <w:r w:rsidRPr="000F7AD5">
        <w:rPr>
          <w:bCs/>
          <w:spacing w:val="-2"/>
          <w:sz w:val="20"/>
        </w:rPr>
        <w:t>MMBtu/hr = million British thermal units per hour</w:t>
      </w:r>
    </w:p>
    <w:p w:rsidRPr="000F7AD5" w:rsidR="00EB0636" w:rsidP="00EB0636" w:rsidRDefault="00EB0636" w14:paraId="2750F992" w14:textId="77777777">
      <w:pPr>
        <w:tabs>
          <w:tab w:val="left" w:pos="-720"/>
          <w:tab w:val="left" w:pos="360"/>
        </w:tabs>
        <w:suppressAutoHyphens/>
        <w:ind w:left="360"/>
        <w:rPr>
          <w:bCs/>
          <w:spacing w:val="-2"/>
          <w:sz w:val="20"/>
        </w:rPr>
      </w:pPr>
      <w:r w:rsidRPr="000F7AD5">
        <w:rPr>
          <w:bCs/>
          <w:spacing w:val="-2"/>
          <w:sz w:val="20"/>
        </w:rPr>
        <w:t>VOC = volatile organic compounds</w:t>
      </w:r>
    </w:p>
    <w:p w:rsidRPr="000F7AD5" w:rsidR="00EB0636" w:rsidP="00EB0636" w:rsidRDefault="00EB0636" w14:paraId="68832B88" w14:textId="77777777">
      <w:pPr>
        <w:tabs>
          <w:tab w:val="left" w:pos="-720"/>
          <w:tab w:val="left" w:pos="360"/>
        </w:tabs>
        <w:suppressAutoHyphens/>
        <w:ind w:left="360"/>
        <w:rPr>
          <w:spacing w:val="-2"/>
          <w:sz w:val="20"/>
        </w:rPr>
      </w:pPr>
      <w:r w:rsidRPr="000F7AD5">
        <w:rPr>
          <w:spacing w:val="-2"/>
          <w:sz w:val="20"/>
        </w:rPr>
        <w:t>kW = kilowatts</w:t>
      </w:r>
    </w:p>
    <w:p w:rsidRPr="000F7AD5" w:rsidR="00C12651" w:rsidP="00EB0636" w:rsidRDefault="00C12651" w14:paraId="4FE267E1" w14:textId="2B336393">
      <w:pPr>
        <w:tabs>
          <w:tab w:val="left" w:pos="-720"/>
          <w:tab w:val="left" w:pos="360"/>
        </w:tabs>
        <w:suppressAutoHyphens/>
        <w:ind w:left="360"/>
        <w:rPr>
          <w:bCs/>
          <w:spacing w:val="-2"/>
          <w:sz w:val="20"/>
        </w:rPr>
      </w:pPr>
      <w:r w:rsidRPr="000F7AD5">
        <w:rPr>
          <w:bCs/>
          <w:spacing w:val="-2"/>
          <w:sz w:val="20"/>
        </w:rPr>
        <w:t xml:space="preserve">QA / QC = </w:t>
      </w:r>
      <w:r w:rsidRPr="000F7AD5" w:rsidR="00D613D5">
        <w:rPr>
          <w:bCs/>
          <w:spacing w:val="-2"/>
          <w:sz w:val="20"/>
        </w:rPr>
        <w:t>quality assurance / quality control</w:t>
      </w:r>
    </w:p>
    <w:p w:rsidRPr="000F7AD5" w:rsidR="00EB0636" w:rsidP="00EB0636" w:rsidRDefault="00EB0636" w14:paraId="0B29E3EA" w14:textId="77777777">
      <w:pPr>
        <w:tabs>
          <w:tab w:val="left" w:pos="-720"/>
          <w:tab w:val="left" w:pos="360"/>
        </w:tabs>
        <w:suppressAutoHyphens/>
        <w:ind w:left="360"/>
        <w:rPr>
          <w:bCs/>
          <w:spacing w:val="-2"/>
          <w:sz w:val="20"/>
        </w:rPr>
      </w:pPr>
      <w:r w:rsidRPr="000F7AD5">
        <w:rPr>
          <w:bCs/>
          <w:spacing w:val="-2"/>
          <w:sz w:val="20"/>
        </w:rPr>
        <w:t>CI RICE = compression ignition reciprocating internal combustion engine</w:t>
      </w:r>
    </w:p>
    <w:p w:rsidRPr="000F7AD5" w:rsidR="00EB0636" w:rsidP="00EB0636" w:rsidRDefault="00EB0636" w14:paraId="611943E0" w14:textId="77777777">
      <w:pPr>
        <w:tabs>
          <w:tab w:val="left" w:pos="-720"/>
          <w:tab w:val="left" w:pos="360"/>
        </w:tabs>
        <w:suppressAutoHyphens/>
        <w:ind w:left="360"/>
        <w:rPr>
          <w:bCs/>
          <w:spacing w:val="-2"/>
          <w:sz w:val="20"/>
        </w:rPr>
      </w:pPr>
      <w:r w:rsidRPr="000F7AD5">
        <w:rPr>
          <w:bCs/>
          <w:spacing w:val="-2"/>
          <w:sz w:val="20"/>
        </w:rPr>
        <w:t>SI RICE = spark ignition reciprocating internal combustion engine</w:t>
      </w:r>
    </w:p>
    <w:p w:rsidRPr="000F7AD5" w:rsidR="00EB0636" w:rsidP="00EB0636" w:rsidRDefault="00EB0636" w14:paraId="214DC73D" w14:textId="77777777">
      <w:pPr>
        <w:tabs>
          <w:tab w:val="left" w:pos="-720"/>
          <w:tab w:val="left" w:pos="360"/>
        </w:tabs>
        <w:suppressAutoHyphens/>
        <w:ind w:left="360"/>
        <w:rPr>
          <w:spacing w:val="-3"/>
          <w:sz w:val="20"/>
          <w:szCs w:val="20"/>
        </w:rPr>
      </w:pPr>
      <w:r w:rsidRPr="000F7AD5">
        <w:rPr>
          <w:spacing w:val="-3"/>
          <w:sz w:val="20"/>
          <w:szCs w:val="20"/>
        </w:rPr>
        <w:t>LPFM = Laboratory Propellant Filling Module</w:t>
      </w:r>
    </w:p>
    <w:p w:rsidRPr="000F7AD5" w:rsidR="00EB0636" w:rsidP="00EB0636" w:rsidRDefault="00EB0636" w14:paraId="3FE120FD" w14:textId="77777777">
      <w:pPr>
        <w:tabs>
          <w:tab w:val="left" w:pos="-720"/>
          <w:tab w:val="left" w:pos="360"/>
        </w:tabs>
        <w:suppressAutoHyphens/>
        <w:ind w:left="360"/>
        <w:rPr>
          <w:spacing w:val="-3"/>
          <w:sz w:val="20"/>
          <w:szCs w:val="20"/>
        </w:rPr>
      </w:pPr>
      <w:r w:rsidRPr="000F7AD5">
        <w:rPr>
          <w:spacing w:val="-3"/>
          <w:sz w:val="20"/>
          <w:szCs w:val="20"/>
        </w:rPr>
        <w:t>LMR = Liquid Mix Room</w:t>
      </w:r>
    </w:p>
    <w:p w:rsidRPr="000F7AD5" w:rsidR="00EB0636" w:rsidP="00EB0636" w:rsidRDefault="00EB0636" w14:paraId="3ABB5BBC" w14:textId="6F7B194A">
      <w:pPr>
        <w:tabs>
          <w:tab w:val="left" w:pos="-720"/>
          <w:tab w:val="left" w:pos="360"/>
        </w:tabs>
        <w:suppressAutoHyphens/>
        <w:ind w:left="360"/>
        <w:rPr>
          <w:spacing w:val="-3"/>
          <w:sz w:val="20"/>
          <w:szCs w:val="20"/>
        </w:rPr>
      </w:pPr>
      <w:r w:rsidRPr="000F7AD5">
        <w:rPr>
          <w:spacing w:val="-3"/>
          <w:sz w:val="20"/>
          <w:szCs w:val="20"/>
        </w:rPr>
        <w:t>NA = not applicable</w:t>
      </w:r>
    </w:p>
    <w:p w:rsidR="00EB0636" w:rsidP="00EB0636" w:rsidRDefault="00EB0636" w14:paraId="40BAFC43" w14:textId="77777777">
      <w:pPr>
        <w:tabs>
          <w:tab w:val="left" w:pos="-720"/>
          <w:tab w:val="left" w:pos="360"/>
        </w:tabs>
        <w:suppressAutoHyphens/>
        <w:ind w:left="360"/>
        <w:rPr>
          <w:spacing w:val="-3"/>
          <w:sz w:val="20"/>
          <w:szCs w:val="20"/>
        </w:rPr>
      </w:pPr>
      <w:r w:rsidRPr="000F7AD5">
        <w:rPr>
          <w:spacing w:val="-3"/>
          <w:sz w:val="20"/>
          <w:szCs w:val="20"/>
        </w:rPr>
        <w:t>&lt; = less than</w:t>
      </w:r>
    </w:p>
    <w:p w:rsidRPr="000F7AD5" w:rsidR="00654FD6" w:rsidP="00654FD6" w:rsidRDefault="00654FD6" w14:paraId="127DFF0F" w14:textId="7527B41F">
      <w:pPr>
        <w:tabs>
          <w:tab w:val="left" w:pos="-720"/>
          <w:tab w:val="left" w:pos="360"/>
        </w:tabs>
        <w:suppressAutoHyphens/>
        <w:ind w:left="360"/>
        <w:rPr>
          <w:bCs/>
          <w:spacing w:val="-2"/>
          <w:sz w:val="20"/>
          <w:szCs w:val="20"/>
        </w:rPr>
      </w:pPr>
      <w:r>
        <w:rPr>
          <w:spacing w:val="-3"/>
          <w:sz w:val="20"/>
          <w:szCs w:val="20"/>
        </w:rPr>
        <w:t xml:space="preserve">TPY = </w:t>
      </w:r>
      <w:r w:rsidRPr="00654FD6">
        <w:rPr>
          <w:spacing w:val="-3"/>
          <w:sz w:val="20"/>
          <w:szCs w:val="20"/>
        </w:rPr>
        <w:t>tons per rolling 12-month period</w:t>
      </w:r>
    </w:p>
    <w:p w:rsidRPr="000F7AD5" w:rsidR="00EB0636" w:rsidP="00EB0636" w:rsidRDefault="00EB0636" w14:paraId="606C5C52" w14:textId="77777777">
      <w:pPr>
        <w:tabs>
          <w:tab w:val="left" w:pos="-720"/>
          <w:tab w:val="left" w:pos="360"/>
        </w:tabs>
        <w:suppressAutoHyphens/>
        <w:ind w:left="360"/>
        <w:rPr>
          <w:spacing w:val="-2"/>
        </w:rPr>
      </w:pPr>
    </w:p>
    <w:p w:rsidRPr="000F7AD5" w:rsidR="00EB0636" w:rsidP="00EB0636" w:rsidRDefault="00EB0636" w14:paraId="381EA8A8" w14:textId="77777777">
      <w:pPr>
        <w:tabs>
          <w:tab w:val="left" w:pos="-720"/>
          <w:tab w:val="left" w:pos="360"/>
        </w:tabs>
        <w:suppressAutoHyphens/>
        <w:ind w:left="360"/>
        <w:rPr>
          <w:b/>
          <w:bCs/>
          <w:spacing w:val="-2"/>
          <w:sz w:val="20"/>
          <w:szCs w:val="20"/>
        </w:rPr>
      </w:pPr>
      <w:r w:rsidRPr="000F7AD5">
        <w:rPr>
          <w:b/>
          <w:bCs/>
          <w:spacing w:val="-2"/>
          <w:sz w:val="20"/>
          <w:szCs w:val="20"/>
        </w:rPr>
        <w:t>Table 1 Notes:</w:t>
      </w:r>
    </w:p>
    <w:p w:rsidRPr="000F7AD5" w:rsidR="00EB0636" w:rsidP="00EB0636" w:rsidRDefault="00EB0636" w14:paraId="0B38F9F8" w14:textId="77777777">
      <w:pPr>
        <w:rPr>
          <w:sz w:val="20"/>
          <w:szCs w:val="20"/>
        </w:rPr>
      </w:pPr>
    </w:p>
    <w:p w:rsidR="00A91DC2" w:rsidP="00AA737A" w:rsidRDefault="00247A2E" w14:paraId="590BB97C" w14:textId="469B8136">
      <w:pPr>
        <w:tabs>
          <w:tab w:val="left" w:pos="450"/>
        </w:tabs>
        <w:ind w:left="450" w:hanging="90"/>
        <w:rPr>
          <w:sz w:val="20"/>
          <w:szCs w:val="20"/>
        </w:rPr>
      </w:pPr>
      <w:r>
        <w:rPr>
          <w:sz w:val="22"/>
          <w:szCs w:val="22"/>
          <w:vertAlign w:val="superscript"/>
        </w:rPr>
        <w:t>a</w:t>
      </w:r>
      <w:r>
        <w:rPr>
          <w:sz w:val="20"/>
          <w:szCs w:val="20"/>
        </w:rPr>
        <w:t xml:space="preserve"> </w:t>
      </w:r>
      <w:r w:rsidR="0085715C">
        <w:rPr>
          <w:sz w:val="20"/>
          <w:szCs w:val="20"/>
        </w:rPr>
        <w:t xml:space="preserve">Line 4 (formerly </w:t>
      </w:r>
      <w:r w:rsidRPr="000F7AD5" w:rsidR="00EB0636">
        <w:rPr>
          <w:sz w:val="20"/>
          <w:szCs w:val="20"/>
        </w:rPr>
        <w:t>EU7</w:t>
      </w:r>
      <w:r w:rsidR="00FC1518">
        <w:rPr>
          <w:sz w:val="20"/>
          <w:szCs w:val="20"/>
        </w:rPr>
        <w:t>) is not included in this table</w:t>
      </w:r>
      <w:r w:rsidR="0097463C">
        <w:rPr>
          <w:sz w:val="20"/>
          <w:szCs w:val="20"/>
        </w:rPr>
        <w:t>.</w:t>
      </w:r>
      <w:r w:rsidR="003D52A9">
        <w:rPr>
          <w:sz w:val="20"/>
          <w:szCs w:val="20"/>
        </w:rPr>
        <w:tab/>
      </w:r>
    </w:p>
    <w:p w:rsidRPr="001066F3" w:rsidR="003D52A9" w:rsidP="00AA737A" w:rsidRDefault="00E07C6A" w14:paraId="3E57F8D9" w14:textId="2E2B954F">
      <w:pPr>
        <w:tabs>
          <w:tab w:val="left" w:pos="450"/>
        </w:tabs>
        <w:ind w:left="450" w:hanging="90"/>
        <w:rPr>
          <w:sz w:val="20"/>
          <w:szCs w:val="20"/>
        </w:rPr>
      </w:pPr>
      <w:r w:rsidRPr="00E07C6A">
        <w:rPr>
          <w:sz w:val="22"/>
          <w:szCs w:val="22"/>
          <w:vertAlign w:val="superscript"/>
        </w:rPr>
        <w:t>b</w:t>
      </w:r>
      <w:r>
        <w:rPr>
          <w:sz w:val="20"/>
          <w:szCs w:val="20"/>
        </w:rPr>
        <w:t xml:space="preserve"> </w:t>
      </w:r>
      <w:r w:rsidRPr="001066F3" w:rsidR="005B414F">
        <w:rPr>
          <w:sz w:val="20"/>
          <w:szCs w:val="20"/>
        </w:rPr>
        <w:t>EU27, EU28</w:t>
      </w:r>
      <w:r w:rsidR="001066F3">
        <w:rPr>
          <w:sz w:val="20"/>
          <w:szCs w:val="20"/>
        </w:rPr>
        <w:t>, EU29, and</w:t>
      </w:r>
      <w:r w:rsidRPr="00E07C6A" w:rsidR="004D5A7C">
        <w:rPr>
          <w:sz w:val="20"/>
          <w:szCs w:val="20"/>
        </w:rPr>
        <w:t xml:space="preserve"> </w:t>
      </w:r>
      <w:r w:rsidRPr="004D5A7C" w:rsidR="004D5A7C">
        <w:rPr>
          <w:sz w:val="20"/>
          <w:szCs w:val="20"/>
        </w:rPr>
        <w:t>Industrial Cleaning Solvents</w:t>
      </w:r>
      <w:r w:rsidR="004D5A7C">
        <w:rPr>
          <w:sz w:val="20"/>
          <w:szCs w:val="20"/>
        </w:rPr>
        <w:t xml:space="preserve"> are the new units</w:t>
      </w:r>
      <w:r w:rsidR="002E4E00">
        <w:rPr>
          <w:sz w:val="20"/>
          <w:szCs w:val="20"/>
        </w:rPr>
        <w:t xml:space="preserve"> proposed</w:t>
      </w:r>
      <w:r w:rsidR="004D5A7C">
        <w:rPr>
          <w:sz w:val="20"/>
          <w:szCs w:val="20"/>
        </w:rPr>
        <w:t xml:space="preserve"> in this plan application</w:t>
      </w:r>
      <w:r w:rsidR="00610E0E">
        <w:rPr>
          <w:sz w:val="20"/>
          <w:szCs w:val="20"/>
        </w:rPr>
        <w:t xml:space="preserve"> </w:t>
      </w:r>
      <w:r w:rsidRPr="00610E0E" w:rsidR="00610E0E">
        <w:rPr>
          <w:sz w:val="20"/>
          <w:szCs w:val="20"/>
        </w:rPr>
        <w:t>23</w:t>
      </w:r>
      <w:r w:rsidR="009C00CB">
        <w:rPr>
          <w:sz w:val="20"/>
          <w:szCs w:val="20"/>
        </w:rPr>
        <w:noBreakHyphen/>
      </w:r>
      <w:r w:rsidRPr="00610E0E" w:rsidR="00610E0E">
        <w:rPr>
          <w:sz w:val="20"/>
          <w:szCs w:val="20"/>
        </w:rPr>
        <w:t>AQ02P-0014-APP</w:t>
      </w:r>
      <w:r w:rsidR="002E4E00">
        <w:rPr>
          <w:sz w:val="20"/>
          <w:szCs w:val="20"/>
        </w:rPr>
        <w:t>. All other emission units have been previously approved by NE-21</w:t>
      </w:r>
      <w:r w:rsidR="00574C39">
        <w:rPr>
          <w:sz w:val="20"/>
          <w:szCs w:val="20"/>
        </w:rPr>
        <w:t>-</w:t>
      </w:r>
      <w:r w:rsidR="00677AF2">
        <w:rPr>
          <w:sz w:val="20"/>
          <w:szCs w:val="20"/>
        </w:rPr>
        <w:t>02</w:t>
      </w:r>
      <w:r w:rsidR="00574C39">
        <w:rPr>
          <w:sz w:val="20"/>
          <w:szCs w:val="20"/>
        </w:rPr>
        <w:t>4 Plan Approval.</w:t>
      </w:r>
    </w:p>
    <w:p w:rsidRPr="001066F3" w:rsidR="0011400B" w:rsidRDefault="0011400B" w14:paraId="5534FF1A" w14:textId="77777777">
      <w:pPr>
        <w:rPr>
          <w:b/>
          <w:bCs/>
          <w:spacing w:val="-2"/>
          <w:sz w:val="20"/>
          <w:szCs w:val="20"/>
        </w:rPr>
      </w:pPr>
      <w:r w:rsidRPr="001066F3">
        <w:rPr>
          <w:b/>
          <w:bCs/>
          <w:spacing w:val="-2"/>
          <w:sz w:val="20"/>
          <w:szCs w:val="20"/>
        </w:rPr>
        <w:br w:type="page"/>
      </w:r>
    </w:p>
    <w:p w:rsidRPr="001066F3" w:rsidR="00587FCE" w:rsidRDefault="00587FCE" w14:paraId="2EEBE698" w14:textId="2DA568CE">
      <w:pPr>
        <w:rPr>
          <w:spacing w:val="-2"/>
          <w:sz w:val="18"/>
          <w:szCs w:val="18"/>
        </w:rPr>
      </w:pPr>
    </w:p>
    <w:p w:rsidRPr="000F7AD5" w:rsidR="00924460" w:rsidP="004479BA" w:rsidRDefault="00924460" w14:paraId="779F5550" w14:textId="77777777">
      <w:pPr>
        <w:pStyle w:val="ListParagraph"/>
        <w:numPr>
          <w:ilvl w:val="0"/>
          <w:numId w:val="3"/>
        </w:numPr>
        <w:ind w:hanging="720"/>
        <w:rPr>
          <w:b/>
          <w:sz w:val="28"/>
          <w:szCs w:val="28"/>
          <w:u w:val="single"/>
        </w:rPr>
      </w:pPr>
      <w:r w:rsidRPr="000F7AD5">
        <w:rPr>
          <w:b/>
          <w:sz w:val="28"/>
          <w:szCs w:val="28"/>
          <w:u w:val="single"/>
        </w:rPr>
        <w:t>APPLICABLE REQUIREMENTS</w:t>
      </w:r>
    </w:p>
    <w:p w:rsidRPr="000F7AD5" w:rsidR="00924460" w:rsidP="00C00C5E" w:rsidRDefault="00924460" w14:paraId="779F5551" w14:textId="77777777"/>
    <w:p w:rsidRPr="000F7AD5" w:rsidR="00924460" w:rsidP="004479BA" w:rsidRDefault="00817570" w14:paraId="779F5552" w14:textId="77777777">
      <w:pPr>
        <w:pStyle w:val="ListParagraph"/>
        <w:numPr>
          <w:ilvl w:val="0"/>
          <w:numId w:val="4"/>
        </w:numPr>
        <w:ind w:hanging="720"/>
        <w:rPr>
          <w:u w:val="single"/>
        </w:rPr>
      </w:pPr>
      <w:r w:rsidRPr="000F7AD5">
        <w:rPr>
          <w:u w:val="single"/>
        </w:rPr>
        <w:t xml:space="preserve">OPERATIONAL, PRODUCTION and </w:t>
      </w:r>
      <w:r w:rsidRPr="000F7AD5" w:rsidR="00924460">
        <w:rPr>
          <w:u w:val="single"/>
        </w:rPr>
        <w:t>EMISSION LIMITS</w:t>
      </w:r>
    </w:p>
    <w:p w:rsidRPr="000F7AD5" w:rsidR="00924460" w:rsidP="00C00C5E" w:rsidRDefault="00924460" w14:paraId="779F5553" w14:textId="77777777"/>
    <w:p w:rsidRPr="000F7AD5" w:rsidR="009972D4" w:rsidP="00A35D85" w:rsidRDefault="00924460" w14:paraId="500D8D04" w14:textId="3E29CF59">
      <w:pPr>
        <w:ind w:left="720"/>
      </w:pPr>
      <w:r w:rsidRPr="000F7AD5">
        <w:t xml:space="preserve">The </w:t>
      </w:r>
      <w:r w:rsidRPr="000F7AD5" w:rsidR="006345A2">
        <w:t>Permittee</w:t>
      </w:r>
      <w:r w:rsidRPr="000F7AD5" w:rsidR="00E22DB2">
        <w:t xml:space="preserve"> </w:t>
      </w:r>
      <w:r w:rsidRPr="000F7AD5" w:rsidR="00056A43">
        <w:t xml:space="preserve">is subject to, and </w:t>
      </w:r>
      <w:r w:rsidRPr="000F7AD5" w:rsidR="00E22DB2">
        <w:t>shall not exceed</w:t>
      </w:r>
      <w:r w:rsidRPr="000F7AD5">
        <w:t xml:space="preserve"> the </w:t>
      </w:r>
      <w:r w:rsidRPr="000F7AD5" w:rsidR="00817570">
        <w:t>Operational, Production, and E</w:t>
      </w:r>
      <w:r w:rsidRPr="000F7AD5" w:rsidR="00056A43">
        <w:t>mission L</w:t>
      </w:r>
      <w:r w:rsidRPr="000F7AD5">
        <w:t>imits</w:t>
      </w:r>
      <w:r w:rsidRPr="000F7AD5" w:rsidR="00E22DB2">
        <w:t xml:space="preserve"> </w:t>
      </w:r>
      <w:r w:rsidRPr="000F7AD5">
        <w:t>as contained in Table</w:t>
      </w:r>
      <w:r w:rsidRPr="000F7AD5" w:rsidR="007E132B">
        <w:t xml:space="preserve"> </w:t>
      </w:r>
      <w:r w:rsidRPr="000F7AD5" w:rsidR="00B909BC">
        <w:t>2</w:t>
      </w:r>
    </w:p>
    <w:p w:rsidRPr="000F7AD5" w:rsidR="00A8494F" w:rsidP="00C00C5E" w:rsidRDefault="00A8494F" w14:paraId="376CDD07" w14:textId="55BBE1E7">
      <w:pPr>
        <w:rPr>
          <w:sz w:val="22"/>
          <w:szCs w:val="22"/>
        </w:rPr>
      </w:pPr>
    </w:p>
    <w:p w:rsidRPr="000F7AD5" w:rsidR="001D1E51" w:rsidP="00A67A03" w:rsidRDefault="00A67A03" w14:paraId="520C805D" w14:textId="46E99221">
      <w:pPr>
        <w:jc w:val="center"/>
        <w:rPr>
          <w:b/>
          <w:bCs/>
          <w:sz w:val="28"/>
          <w:szCs w:val="28"/>
        </w:rPr>
      </w:pPr>
      <w:r w:rsidRPr="000F7AD5">
        <w:rPr>
          <w:b/>
          <w:bCs/>
          <w:sz w:val="28"/>
          <w:szCs w:val="28"/>
        </w:rPr>
        <w:t>Table 2</w:t>
      </w:r>
    </w:p>
    <w:tbl>
      <w:tblPr>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72" w:type="dxa"/>
          <w:bottom w:w="29" w:type="dxa"/>
          <w:right w:w="72" w:type="dxa"/>
        </w:tblCellMar>
        <w:tblLook w:val="0000" w:firstRow="0" w:lastRow="0" w:firstColumn="0" w:lastColumn="0" w:noHBand="0" w:noVBand="0"/>
      </w:tblPr>
      <w:tblGrid>
        <w:gridCol w:w="1165"/>
        <w:gridCol w:w="3690"/>
        <w:gridCol w:w="1584"/>
        <w:gridCol w:w="3456"/>
      </w:tblGrid>
      <w:tr w:rsidRPr="000F7AD5" w:rsidR="00C072B5" w:rsidTr="00AB7974" w14:paraId="4C2E769F" w14:textId="77777777">
        <w:trPr>
          <w:trHeight w:val="432"/>
          <w:tblHeader/>
          <w:jc w:val="center"/>
        </w:trPr>
        <w:tc>
          <w:tcPr>
            <w:tcW w:w="1165" w:type="dxa"/>
            <w:shd w:val="clear" w:color="auto" w:fill="BFBFBF" w:themeFill="background1" w:themeFillShade="BF"/>
            <w:vAlign w:val="center"/>
          </w:tcPr>
          <w:p w:rsidRPr="000F7AD5" w:rsidR="00C072B5" w:rsidP="00DA538A" w:rsidRDefault="00C072B5" w14:paraId="522F8E54" w14:textId="77777777">
            <w:pPr>
              <w:jc w:val="center"/>
              <w:rPr>
                <w:b/>
                <w:sz w:val="22"/>
                <w:szCs w:val="22"/>
              </w:rPr>
            </w:pPr>
            <w:r w:rsidRPr="000F7AD5">
              <w:rPr>
                <w:b/>
                <w:sz w:val="22"/>
                <w:szCs w:val="22"/>
              </w:rPr>
              <w:t>EU</w:t>
            </w:r>
          </w:p>
        </w:tc>
        <w:tc>
          <w:tcPr>
            <w:tcW w:w="3690" w:type="dxa"/>
            <w:shd w:val="clear" w:color="auto" w:fill="BFBFBF" w:themeFill="background1" w:themeFillShade="BF"/>
            <w:vAlign w:val="center"/>
          </w:tcPr>
          <w:p w:rsidRPr="000F7AD5" w:rsidR="00C072B5" w:rsidP="00DA538A" w:rsidRDefault="00C072B5" w14:paraId="0574078F" w14:textId="77777777">
            <w:pPr>
              <w:jc w:val="center"/>
              <w:rPr>
                <w:b/>
                <w:sz w:val="22"/>
                <w:szCs w:val="22"/>
              </w:rPr>
            </w:pPr>
            <w:r w:rsidRPr="000F7AD5">
              <w:rPr>
                <w:b/>
                <w:sz w:val="22"/>
                <w:szCs w:val="22"/>
              </w:rPr>
              <w:t>Operational / Production Limit</w:t>
            </w:r>
          </w:p>
        </w:tc>
        <w:tc>
          <w:tcPr>
            <w:tcW w:w="1584" w:type="dxa"/>
            <w:shd w:val="clear" w:color="auto" w:fill="BFBFBF" w:themeFill="background1" w:themeFillShade="BF"/>
            <w:vAlign w:val="center"/>
          </w:tcPr>
          <w:p w:rsidRPr="000F7AD5" w:rsidR="00C072B5" w:rsidP="00BE6D48" w:rsidRDefault="00C072B5" w14:paraId="4F52A0A9" w14:textId="77777777">
            <w:pPr>
              <w:jc w:val="center"/>
              <w:rPr>
                <w:b/>
                <w:sz w:val="22"/>
                <w:szCs w:val="22"/>
              </w:rPr>
            </w:pPr>
            <w:r w:rsidRPr="000F7AD5">
              <w:rPr>
                <w:b/>
                <w:sz w:val="22"/>
                <w:szCs w:val="22"/>
              </w:rPr>
              <w:t>Air Contaminant</w:t>
            </w:r>
          </w:p>
        </w:tc>
        <w:tc>
          <w:tcPr>
            <w:tcW w:w="3456" w:type="dxa"/>
            <w:shd w:val="clear" w:color="auto" w:fill="BFBFBF" w:themeFill="background1" w:themeFillShade="BF"/>
            <w:vAlign w:val="center"/>
          </w:tcPr>
          <w:p w:rsidRPr="000F7AD5" w:rsidR="00C072B5" w:rsidP="00DA538A" w:rsidRDefault="00C072B5" w14:paraId="2FEA5793" w14:textId="77777777">
            <w:pPr>
              <w:jc w:val="center"/>
              <w:rPr>
                <w:b/>
                <w:sz w:val="22"/>
                <w:szCs w:val="22"/>
              </w:rPr>
            </w:pPr>
            <w:r w:rsidRPr="000F7AD5">
              <w:rPr>
                <w:b/>
                <w:sz w:val="22"/>
                <w:szCs w:val="22"/>
              </w:rPr>
              <w:t>Emission Limit</w:t>
            </w:r>
          </w:p>
        </w:tc>
      </w:tr>
      <w:tr w:rsidRPr="000F7AD5" w:rsidR="007E132B" w:rsidTr="00AB7974" w14:paraId="01D0E86D" w14:textId="77777777">
        <w:trPr>
          <w:cantSplit/>
          <w:trHeight w:val="1440"/>
          <w:jc w:val="center"/>
        </w:trPr>
        <w:tc>
          <w:tcPr>
            <w:tcW w:w="1165" w:type="dxa"/>
            <w:vMerge w:val="restart"/>
            <w:vAlign w:val="center"/>
          </w:tcPr>
          <w:p w:rsidRPr="000F7AD5" w:rsidR="007E132B" w:rsidP="00163D28" w:rsidRDefault="007E132B" w14:paraId="5F31210E" w14:textId="77777777">
            <w:pPr>
              <w:jc w:val="center"/>
              <w:rPr>
                <w:sz w:val="22"/>
                <w:szCs w:val="22"/>
              </w:rPr>
            </w:pPr>
            <w:r w:rsidRPr="000F7AD5">
              <w:rPr>
                <w:sz w:val="22"/>
                <w:szCs w:val="22"/>
              </w:rPr>
              <w:t>EU1</w:t>
            </w:r>
          </w:p>
          <w:p w:rsidRPr="000F7AD5" w:rsidR="007E132B" w:rsidP="00163D28" w:rsidRDefault="007E132B" w14:paraId="2D8991E5" w14:textId="7ACE1071">
            <w:pPr>
              <w:jc w:val="center"/>
              <w:rPr>
                <w:sz w:val="22"/>
                <w:szCs w:val="22"/>
              </w:rPr>
            </w:pPr>
            <w:r w:rsidRPr="000F7AD5">
              <w:rPr>
                <w:sz w:val="22"/>
                <w:szCs w:val="22"/>
              </w:rPr>
              <w:t>EU3</w:t>
            </w:r>
          </w:p>
        </w:tc>
        <w:tc>
          <w:tcPr>
            <w:tcW w:w="3690" w:type="dxa"/>
            <w:vMerge w:val="restart"/>
            <w:vAlign w:val="center"/>
          </w:tcPr>
          <w:p w:rsidRPr="000F7AD5" w:rsidR="007E132B" w:rsidP="00EE2FD3" w:rsidRDefault="00A80BD9" w14:paraId="11AED9C2" w14:textId="7D304DEE">
            <w:pPr>
              <w:tabs>
                <w:tab w:val="left" w:pos="496"/>
              </w:tabs>
              <w:ind w:left="286"/>
              <w:rPr>
                <w:sz w:val="22"/>
                <w:szCs w:val="22"/>
              </w:rPr>
            </w:pPr>
            <w:r w:rsidRPr="000F7AD5">
              <w:rPr>
                <w:sz w:val="22"/>
                <w:szCs w:val="22"/>
              </w:rPr>
              <w:t>NA</w:t>
            </w:r>
          </w:p>
        </w:tc>
        <w:tc>
          <w:tcPr>
            <w:tcW w:w="1584" w:type="dxa"/>
            <w:vAlign w:val="center"/>
          </w:tcPr>
          <w:p w:rsidRPr="000F7AD5" w:rsidR="007E132B" w:rsidP="00AF4187" w:rsidRDefault="00931650" w14:paraId="7BE4999A" w14:textId="10FB7261">
            <w:pPr>
              <w:jc w:val="center"/>
              <w:rPr>
                <w:sz w:val="22"/>
                <w:szCs w:val="22"/>
              </w:rPr>
            </w:pPr>
            <w:r w:rsidRPr="000F7AD5">
              <w:rPr>
                <w:sz w:val="22"/>
                <w:szCs w:val="22"/>
              </w:rPr>
              <w:t>SO</w:t>
            </w:r>
            <w:r w:rsidRPr="000F7AD5">
              <w:rPr>
                <w:sz w:val="22"/>
                <w:szCs w:val="22"/>
                <w:vertAlign w:val="subscript"/>
              </w:rPr>
              <w:t>2</w:t>
            </w:r>
          </w:p>
        </w:tc>
        <w:tc>
          <w:tcPr>
            <w:tcW w:w="3456" w:type="dxa"/>
            <w:vAlign w:val="center"/>
          </w:tcPr>
          <w:p w:rsidRPr="000F7AD5" w:rsidR="00B32000" w:rsidP="00AF4187" w:rsidRDefault="00B32000" w14:paraId="3DCFD32D" w14:textId="227BB20B">
            <w:pPr>
              <w:jc w:val="center"/>
              <w:rPr>
                <w:sz w:val="22"/>
                <w:szCs w:val="22"/>
              </w:rPr>
            </w:pPr>
            <w:r w:rsidRPr="000F7AD5">
              <w:rPr>
                <w:sz w:val="22"/>
                <w:szCs w:val="22"/>
                <w:u w:val="single"/>
              </w:rPr>
              <w:t>&lt;</w:t>
            </w:r>
            <w:r w:rsidRPr="000F7AD5">
              <w:rPr>
                <w:sz w:val="22"/>
                <w:szCs w:val="22"/>
              </w:rPr>
              <w:t xml:space="preserve"> 0.02 </w:t>
            </w:r>
            <w:r w:rsidRPr="000F7AD5" w:rsidR="003C329E">
              <w:rPr>
                <w:sz w:val="22"/>
                <w:szCs w:val="22"/>
              </w:rPr>
              <w:t>ton</w:t>
            </w:r>
            <w:r w:rsidRPr="000F7AD5" w:rsidR="00790E4C">
              <w:rPr>
                <w:sz w:val="22"/>
                <w:szCs w:val="22"/>
              </w:rPr>
              <w:t>s</w:t>
            </w:r>
            <w:r w:rsidRPr="000F7AD5" w:rsidR="003C329E">
              <w:rPr>
                <w:sz w:val="22"/>
                <w:szCs w:val="22"/>
              </w:rPr>
              <w:t xml:space="preserve"> per month</w:t>
            </w:r>
          </w:p>
          <w:p w:rsidRPr="000F7AD5" w:rsidR="003C329E" w:rsidP="00AF4187" w:rsidRDefault="003C329E" w14:paraId="37072773" w14:textId="77777777">
            <w:pPr>
              <w:jc w:val="center"/>
              <w:rPr>
                <w:sz w:val="22"/>
                <w:szCs w:val="22"/>
              </w:rPr>
            </w:pPr>
          </w:p>
          <w:p w:rsidRPr="000F7AD5" w:rsidR="00471072" w:rsidP="00471072" w:rsidRDefault="00B32000" w14:paraId="505A6ECE" w14:textId="3C5BEFA2">
            <w:pPr>
              <w:jc w:val="center"/>
              <w:rPr>
                <w:sz w:val="22"/>
                <w:szCs w:val="22"/>
              </w:rPr>
            </w:pPr>
            <w:r w:rsidRPr="000F7AD5">
              <w:rPr>
                <w:sz w:val="22"/>
                <w:szCs w:val="22"/>
                <w:u w:val="single"/>
              </w:rPr>
              <w:t>&lt;</w:t>
            </w:r>
            <w:r w:rsidRPr="000F7AD5">
              <w:rPr>
                <w:sz w:val="22"/>
                <w:szCs w:val="22"/>
              </w:rPr>
              <w:t xml:space="preserve"> 0.2 </w:t>
            </w:r>
            <w:r w:rsidRPr="000F7AD5" w:rsidR="00471072">
              <w:rPr>
                <w:sz w:val="22"/>
                <w:szCs w:val="22"/>
              </w:rPr>
              <w:t>ton</w:t>
            </w:r>
            <w:r w:rsidRPr="000F7AD5" w:rsidR="00790E4C">
              <w:rPr>
                <w:sz w:val="22"/>
                <w:szCs w:val="22"/>
              </w:rPr>
              <w:t>s</w:t>
            </w:r>
            <w:r w:rsidRPr="000F7AD5" w:rsidR="00471072">
              <w:rPr>
                <w:sz w:val="22"/>
                <w:szCs w:val="22"/>
              </w:rPr>
              <w:t xml:space="preserve"> per rolling </w:t>
            </w:r>
          </w:p>
          <w:p w:rsidRPr="000F7AD5" w:rsidR="007E132B" w:rsidP="00471072" w:rsidRDefault="00471072" w14:paraId="0BE596A5" w14:textId="3859A8D5">
            <w:pPr>
              <w:jc w:val="center"/>
              <w:rPr>
                <w:sz w:val="22"/>
                <w:szCs w:val="22"/>
              </w:rPr>
            </w:pPr>
            <w:r w:rsidRPr="000F7AD5">
              <w:rPr>
                <w:sz w:val="22"/>
                <w:szCs w:val="22"/>
              </w:rPr>
              <w:t>12-month period</w:t>
            </w:r>
          </w:p>
        </w:tc>
      </w:tr>
      <w:tr w:rsidRPr="000F7AD5" w:rsidR="007E132B" w:rsidTr="00AB7974" w14:paraId="2866C1BB" w14:textId="77777777">
        <w:trPr>
          <w:cantSplit/>
          <w:trHeight w:val="1440"/>
          <w:jc w:val="center"/>
        </w:trPr>
        <w:tc>
          <w:tcPr>
            <w:tcW w:w="1165" w:type="dxa"/>
            <w:vMerge/>
            <w:vAlign w:val="center"/>
          </w:tcPr>
          <w:p w:rsidRPr="000F7AD5" w:rsidR="007E132B" w:rsidP="00163D28" w:rsidRDefault="007E132B" w14:paraId="7D9A5E5E" w14:textId="77777777">
            <w:pPr>
              <w:jc w:val="center"/>
              <w:rPr>
                <w:sz w:val="22"/>
                <w:szCs w:val="22"/>
              </w:rPr>
            </w:pPr>
          </w:p>
        </w:tc>
        <w:tc>
          <w:tcPr>
            <w:tcW w:w="3690" w:type="dxa"/>
            <w:vMerge/>
            <w:vAlign w:val="center"/>
          </w:tcPr>
          <w:p w:rsidRPr="000F7AD5" w:rsidR="007E132B" w:rsidP="00B145CC" w:rsidRDefault="007E132B" w14:paraId="26232666" w14:textId="77777777">
            <w:pPr>
              <w:numPr>
                <w:ilvl w:val="0"/>
                <w:numId w:val="10"/>
              </w:numPr>
              <w:ind w:left="276" w:hanging="270"/>
              <w:rPr>
                <w:sz w:val="22"/>
                <w:szCs w:val="22"/>
              </w:rPr>
            </w:pPr>
          </w:p>
        </w:tc>
        <w:tc>
          <w:tcPr>
            <w:tcW w:w="1584" w:type="dxa"/>
            <w:vAlign w:val="center"/>
          </w:tcPr>
          <w:p w:rsidRPr="000F7AD5" w:rsidR="007E132B" w:rsidP="00AF4187" w:rsidRDefault="0077550A" w14:paraId="2D84E069" w14:textId="259986CC">
            <w:pPr>
              <w:jc w:val="center"/>
              <w:rPr>
                <w:sz w:val="22"/>
                <w:szCs w:val="22"/>
              </w:rPr>
            </w:pPr>
            <w:r w:rsidRPr="000F7AD5">
              <w:rPr>
                <w:sz w:val="22"/>
                <w:szCs w:val="22"/>
              </w:rPr>
              <w:t>NO</w:t>
            </w:r>
            <w:r w:rsidRPr="000F7AD5">
              <w:rPr>
                <w:sz w:val="22"/>
                <w:szCs w:val="22"/>
                <w:vertAlign w:val="subscript"/>
              </w:rPr>
              <w:t>x</w:t>
            </w:r>
          </w:p>
        </w:tc>
        <w:tc>
          <w:tcPr>
            <w:tcW w:w="3456" w:type="dxa"/>
            <w:vAlign w:val="center"/>
          </w:tcPr>
          <w:p w:rsidRPr="000F7AD5" w:rsidR="00240AFF" w:rsidP="00AF4187" w:rsidRDefault="00240AFF" w14:paraId="0FB38DD0" w14:textId="5105BA70">
            <w:pPr>
              <w:jc w:val="center"/>
              <w:rPr>
                <w:sz w:val="22"/>
                <w:szCs w:val="22"/>
              </w:rPr>
            </w:pPr>
            <w:r w:rsidRPr="000F7AD5">
              <w:rPr>
                <w:sz w:val="22"/>
                <w:szCs w:val="22"/>
                <w:u w:val="single"/>
              </w:rPr>
              <w:t>&lt;</w:t>
            </w:r>
            <w:r w:rsidRPr="000F7AD5">
              <w:rPr>
                <w:sz w:val="22"/>
                <w:szCs w:val="22"/>
              </w:rPr>
              <w:t xml:space="preserve"> 2.2 </w:t>
            </w:r>
            <w:r w:rsidRPr="000F7AD5" w:rsidR="003C329E">
              <w:rPr>
                <w:sz w:val="22"/>
                <w:szCs w:val="22"/>
              </w:rPr>
              <w:t>tons per month</w:t>
            </w:r>
          </w:p>
          <w:p w:rsidRPr="000F7AD5" w:rsidR="003C329E" w:rsidP="00AF4187" w:rsidRDefault="003C329E" w14:paraId="519FF9AE" w14:textId="77777777">
            <w:pPr>
              <w:jc w:val="center"/>
              <w:rPr>
                <w:sz w:val="22"/>
                <w:szCs w:val="22"/>
              </w:rPr>
            </w:pPr>
          </w:p>
          <w:p w:rsidRPr="000F7AD5" w:rsidR="00471072" w:rsidP="00471072" w:rsidRDefault="00240AFF" w14:paraId="4F84805D" w14:textId="1F2BD138">
            <w:pPr>
              <w:jc w:val="center"/>
              <w:rPr>
                <w:sz w:val="22"/>
                <w:szCs w:val="22"/>
              </w:rPr>
            </w:pPr>
            <w:r w:rsidRPr="000F7AD5">
              <w:rPr>
                <w:sz w:val="22"/>
                <w:szCs w:val="22"/>
                <w:u w:val="single"/>
              </w:rPr>
              <w:t>&lt;</w:t>
            </w:r>
            <w:r w:rsidRPr="000F7AD5">
              <w:rPr>
                <w:sz w:val="22"/>
                <w:szCs w:val="22"/>
              </w:rPr>
              <w:t xml:space="preserve"> 25.7 </w:t>
            </w:r>
            <w:r w:rsidRPr="000F7AD5" w:rsidR="00471072">
              <w:rPr>
                <w:sz w:val="22"/>
                <w:szCs w:val="22"/>
              </w:rPr>
              <w:t>ton</w:t>
            </w:r>
            <w:r w:rsidRPr="000F7AD5" w:rsidR="009F3A79">
              <w:rPr>
                <w:sz w:val="22"/>
                <w:szCs w:val="22"/>
              </w:rPr>
              <w:t>s</w:t>
            </w:r>
            <w:r w:rsidRPr="000F7AD5" w:rsidR="00471072">
              <w:rPr>
                <w:sz w:val="22"/>
                <w:szCs w:val="22"/>
              </w:rPr>
              <w:t xml:space="preserve"> per rolling </w:t>
            </w:r>
          </w:p>
          <w:p w:rsidRPr="000F7AD5" w:rsidR="007E132B" w:rsidP="00471072" w:rsidRDefault="00471072" w14:paraId="5DA1EF50" w14:textId="293D4222">
            <w:pPr>
              <w:jc w:val="center"/>
              <w:rPr>
                <w:sz w:val="22"/>
                <w:szCs w:val="22"/>
              </w:rPr>
            </w:pPr>
            <w:r w:rsidRPr="000F7AD5">
              <w:rPr>
                <w:sz w:val="22"/>
                <w:szCs w:val="22"/>
              </w:rPr>
              <w:t>12-month period</w:t>
            </w:r>
          </w:p>
        </w:tc>
      </w:tr>
      <w:tr w:rsidRPr="000F7AD5" w:rsidR="007E132B" w:rsidTr="00AB7974" w14:paraId="3A36001C" w14:textId="77777777">
        <w:trPr>
          <w:cantSplit/>
          <w:trHeight w:val="720"/>
          <w:jc w:val="center"/>
        </w:trPr>
        <w:tc>
          <w:tcPr>
            <w:tcW w:w="1165" w:type="dxa"/>
            <w:vMerge/>
            <w:vAlign w:val="center"/>
          </w:tcPr>
          <w:p w:rsidRPr="000F7AD5" w:rsidR="007E132B" w:rsidP="00163D28" w:rsidRDefault="007E132B" w14:paraId="0922EB78" w14:textId="77777777">
            <w:pPr>
              <w:jc w:val="center"/>
              <w:rPr>
                <w:sz w:val="22"/>
                <w:szCs w:val="22"/>
              </w:rPr>
            </w:pPr>
          </w:p>
        </w:tc>
        <w:tc>
          <w:tcPr>
            <w:tcW w:w="3690" w:type="dxa"/>
            <w:vMerge/>
            <w:vAlign w:val="center"/>
          </w:tcPr>
          <w:p w:rsidRPr="000F7AD5" w:rsidR="007E132B" w:rsidP="00B145CC" w:rsidRDefault="007E132B" w14:paraId="1BB0077A" w14:textId="77777777">
            <w:pPr>
              <w:numPr>
                <w:ilvl w:val="0"/>
                <w:numId w:val="10"/>
              </w:numPr>
              <w:ind w:left="276" w:hanging="270"/>
              <w:rPr>
                <w:sz w:val="22"/>
                <w:szCs w:val="22"/>
              </w:rPr>
            </w:pPr>
          </w:p>
        </w:tc>
        <w:tc>
          <w:tcPr>
            <w:tcW w:w="1584" w:type="dxa"/>
            <w:vAlign w:val="center"/>
          </w:tcPr>
          <w:p w:rsidRPr="000F7AD5" w:rsidR="007E132B" w:rsidP="00AF4187" w:rsidRDefault="00B946AF" w14:paraId="4B1BA597" w14:textId="792F6E0B">
            <w:pPr>
              <w:jc w:val="center"/>
              <w:rPr>
                <w:sz w:val="22"/>
                <w:szCs w:val="22"/>
              </w:rPr>
            </w:pPr>
            <w:r w:rsidRPr="000F7AD5">
              <w:rPr>
                <w:sz w:val="22"/>
                <w:szCs w:val="22"/>
              </w:rPr>
              <w:t>PM</w:t>
            </w:r>
          </w:p>
        </w:tc>
        <w:tc>
          <w:tcPr>
            <w:tcW w:w="3456" w:type="dxa"/>
            <w:vAlign w:val="center"/>
          </w:tcPr>
          <w:p w:rsidRPr="000F7AD5" w:rsidR="007E132B" w:rsidP="00AF4187" w:rsidRDefault="00D71E9E" w14:paraId="7EAC7CA0" w14:textId="657958E1">
            <w:pPr>
              <w:jc w:val="center"/>
              <w:rPr>
                <w:sz w:val="22"/>
                <w:szCs w:val="22"/>
              </w:rPr>
            </w:pPr>
            <w:r w:rsidRPr="000F7AD5">
              <w:rPr>
                <w:sz w:val="22"/>
                <w:szCs w:val="22"/>
              </w:rPr>
              <w:t>0.15 pound/MMBtu</w:t>
            </w:r>
          </w:p>
        </w:tc>
      </w:tr>
      <w:tr w:rsidRPr="000F7AD5" w:rsidR="00C072B5" w:rsidTr="00AB7974" w14:paraId="14D90EBE" w14:textId="77777777">
        <w:trPr>
          <w:cantSplit/>
          <w:trHeight w:val="1008"/>
          <w:jc w:val="center"/>
        </w:trPr>
        <w:tc>
          <w:tcPr>
            <w:tcW w:w="1165" w:type="dxa"/>
            <w:vAlign w:val="center"/>
          </w:tcPr>
          <w:p w:rsidRPr="000F7AD5" w:rsidR="00C072B5" w:rsidP="00163D28" w:rsidRDefault="0035448E" w14:paraId="46713EB7" w14:textId="64EB64FE">
            <w:pPr>
              <w:jc w:val="center"/>
              <w:rPr>
                <w:sz w:val="22"/>
                <w:szCs w:val="22"/>
              </w:rPr>
            </w:pPr>
            <w:r w:rsidRPr="000F7AD5">
              <w:rPr>
                <w:sz w:val="22"/>
                <w:szCs w:val="22"/>
              </w:rPr>
              <w:t>EU5</w:t>
            </w:r>
          </w:p>
        </w:tc>
        <w:tc>
          <w:tcPr>
            <w:tcW w:w="3690" w:type="dxa"/>
            <w:vAlign w:val="center"/>
          </w:tcPr>
          <w:p w:rsidRPr="000F7AD5" w:rsidR="00C072B5" w:rsidP="006345E9" w:rsidRDefault="00904994" w14:paraId="017FD744" w14:textId="0C0C2E25">
            <w:pPr>
              <w:ind w:left="276"/>
              <w:rPr>
                <w:sz w:val="22"/>
                <w:szCs w:val="22"/>
              </w:rPr>
            </w:pPr>
            <w:r w:rsidRPr="000F7AD5">
              <w:rPr>
                <w:sz w:val="22"/>
                <w:szCs w:val="22"/>
              </w:rPr>
              <w:t>NA</w:t>
            </w:r>
            <w:r w:rsidRPr="000F7AD5" w:rsidR="00CF3D88">
              <w:rPr>
                <w:sz w:val="22"/>
                <w:szCs w:val="22"/>
              </w:rPr>
              <w:t xml:space="preserve"> </w:t>
            </w:r>
          </w:p>
        </w:tc>
        <w:tc>
          <w:tcPr>
            <w:tcW w:w="1584" w:type="dxa"/>
            <w:vAlign w:val="center"/>
          </w:tcPr>
          <w:p w:rsidRPr="000F7AD5" w:rsidR="00C072B5" w:rsidP="006345E9" w:rsidRDefault="007A4EF3" w14:paraId="2071FB96" w14:textId="796F38FD">
            <w:pPr>
              <w:tabs>
                <w:tab w:val="left" w:pos="-720"/>
              </w:tabs>
              <w:suppressAutoHyphens/>
              <w:jc w:val="center"/>
              <w:rPr>
                <w:sz w:val="22"/>
                <w:szCs w:val="22"/>
              </w:rPr>
            </w:pPr>
            <w:r w:rsidRPr="000F7AD5">
              <w:rPr>
                <w:sz w:val="22"/>
                <w:szCs w:val="22"/>
              </w:rPr>
              <w:t>VOC</w:t>
            </w:r>
          </w:p>
        </w:tc>
        <w:tc>
          <w:tcPr>
            <w:tcW w:w="3456" w:type="dxa"/>
            <w:vAlign w:val="center"/>
          </w:tcPr>
          <w:p w:rsidRPr="000F7AD5" w:rsidR="00EC2351" w:rsidP="00AF4187" w:rsidRDefault="00EC2351" w14:paraId="07801E07" w14:textId="77777777">
            <w:pPr>
              <w:tabs>
                <w:tab w:val="left" w:pos="-720"/>
              </w:tabs>
              <w:suppressAutoHyphens/>
              <w:jc w:val="center"/>
              <w:rPr>
                <w:sz w:val="22"/>
                <w:szCs w:val="22"/>
              </w:rPr>
            </w:pPr>
            <w:r w:rsidRPr="000F7AD5">
              <w:rPr>
                <w:sz w:val="22"/>
                <w:szCs w:val="22"/>
              </w:rPr>
              <w:sym w:font="Symbol" w:char="F0A3"/>
            </w:r>
            <w:r w:rsidRPr="000F7AD5">
              <w:rPr>
                <w:sz w:val="22"/>
                <w:szCs w:val="22"/>
              </w:rPr>
              <w:t xml:space="preserve"> 1.6 tons per month</w:t>
            </w:r>
          </w:p>
          <w:p w:rsidRPr="000F7AD5" w:rsidR="003C329E" w:rsidP="00AF4187" w:rsidRDefault="003C329E" w14:paraId="536E4DA0" w14:textId="77777777">
            <w:pPr>
              <w:tabs>
                <w:tab w:val="left" w:pos="-720"/>
              </w:tabs>
              <w:suppressAutoHyphens/>
              <w:jc w:val="center"/>
              <w:rPr>
                <w:sz w:val="22"/>
                <w:szCs w:val="22"/>
              </w:rPr>
            </w:pPr>
          </w:p>
          <w:p w:rsidRPr="000F7AD5" w:rsidR="00C072B5" w:rsidP="00AF4187" w:rsidRDefault="00EC2351" w14:paraId="4FCD5F97" w14:textId="11879D7B">
            <w:pPr>
              <w:jc w:val="center"/>
              <w:rPr>
                <w:sz w:val="22"/>
                <w:szCs w:val="22"/>
              </w:rPr>
            </w:pPr>
            <w:r w:rsidRPr="000F7AD5">
              <w:rPr>
                <w:sz w:val="22"/>
                <w:szCs w:val="22"/>
              </w:rPr>
              <w:sym w:font="Symbol" w:char="F0A3"/>
            </w:r>
            <w:r w:rsidRPr="000F7AD5">
              <w:rPr>
                <w:sz w:val="22"/>
                <w:szCs w:val="22"/>
              </w:rPr>
              <w:t xml:space="preserve"> 7.9 tons per rolling 12-month period</w:t>
            </w:r>
          </w:p>
        </w:tc>
      </w:tr>
      <w:tr w:rsidRPr="000F7AD5" w:rsidR="00C072B5" w:rsidTr="00AB7974" w14:paraId="7FBA6BB1" w14:textId="77777777">
        <w:trPr>
          <w:cantSplit/>
          <w:trHeight w:val="1008"/>
          <w:jc w:val="center"/>
        </w:trPr>
        <w:tc>
          <w:tcPr>
            <w:tcW w:w="1165" w:type="dxa"/>
            <w:vAlign w:val="center"/>
          </w:tcPr>
          <w:p w:rsidRPr="000F7AD5" w:rsidR="00C072B5" w:rsidP="00163D28" w:rsidRDefault="004C39BF" w14:paraId="661759F3" w14:textId="100A1898">
            <w:pPr>
              <w:jc w:val="center"/>
              <w:rPr>
                <w:sz w:val="22"/>
                <w:szCs w:val="22"/>
              </w:rPr>
            </w:pPr>
            <w:r w:rsidRPr="000F7AD5">
              <w:rPr>
                <w:sz w:val="22"/>
                <w:szCs w:val="22"/>
              </w:rPr>
              <w:t>EU10</w:t>
            </w:r>
          </w:p>
        </w:tc>
        <w:tc>
          <w:tcPr>
            <w:tcW w:w="3690" w:type="dxa"/>
            <w:vAlign w:val="center"/>
          </w:tcPr>
          <w:p w:rsidRPr="000F7AD5" w:rsidR="00C072B5" w:rsidP="006345E9" w:rsidRDefault="005A4AE6" w14:paraId="28E2B1B2" w14:textId="3F21EEC4">
            <w:pPr>
              <w:ind w:left="276"/>
              <w:rPr>
                <w:sz w:val="22"/>
                <w:szCs w:val="22"/>
              </w:rPr>
            </w:pPr>
            <w:r w:rsidRPr="000F7AD5">
              <w:rPr>
                <w:sz w:val="22"/>
                <w:szCs w:val="22"/>
              </w:rPr>
              <w:t>NA</w:t>
            </w:r>
          </w:p>
        </w:tc>
        <w:tc>
          <w:tcPr>
            <w:tcW w:w="1584" w:type="dxa"/>
            <w:vAlign w:val="center"/>
          </w:tcPr>
          <w:p w:rsidRPr="000F7AD5" w:rsidR="00C072B5" w:rsidP="00AF4187" w:rsidRDefault="00E60DD6" w14:paraId="1BC7BB27" w14:textId="72BC548B">
            <w:pPr>
              <w:jc w:val="center"/>
              <w:rPr>
                <w:sz w:val="22"/>
                <w:szCs w:val="22"/>
              </w:rPr>
            </w:pPr>
            <w:r w:rsidRPr="000F7AD5">
              <w:rPr>
                <w:sz w:val="22"/>
                <w:szCs w:val="22"/>
              </w:rPr>
              <w:t>VOC</w:t>
            </w:r>
          </w:p>
        </w:tc>
        <w:tc>
          <w:tcPr>
            <w:tcW w:w="3456" w:type="dxa"/>
            <w:vAlign w:val="center"/>
          </w:tcPr>
          <w:p w:rsidRPr="000F7AD5" w:rsidR="00F50DD0" w:rsidP="00AF4187" w:rsidRDefault="00F50DD0" w14:paraId="0E469C80" w14:textId="49737CBF">
            <w:pPr>
              <w:tabs>
                <w:tab w:val="left" w:pos="-720"/>
              </w:tabs>
              <w:suppressAutoHyphens/>
              <w:jc w:val="center"/>
              <w:rPr>
                <w:sz w:val="22"/>
                <w:szCs w:val="22"/>
              </w:rPr>
            </w:pPr>
            <w:r w:rsidRPr="000F7AD5">
              <w:rPr>
                <w:sz w:val="22"/>
                <w:szCs w:val="22"/>
              </w:rPr>
              <w:sym w:font="Symbol" w:char="F0A3"/>
            </w:r>
            <w:r w:rsidRPr="000F7AD5">
              <w:rPr>
                <w:sz w:val="22"/>
                <w:szCs w:val="22"/>
              </w:rPr>
              <w:t xml:space="preserve"> 0.5 ton</w:t>
            </w:r>
            <w:r w:rsidRPr="000F7AD5" w:rsidR="00790E4C">
              <w:rPr>
                <w:sz w:val="22"/>
                <w:szCs w:val="22"/>
              </w:rPr>
              <w:t>s</w:t>
            </w:r>
            <w:r w:rsidRPr="000F7AD5">
              <w:rPr>
                <w:sz w:val="22"/>
                <w:szCs w:val="22"/>
              </w:rPr>
              <w:t xml:space="preserve"> per month</w:t>
            </w:r>
          </w:p>
          <w:p w:rsidRPr="000F7AD5" w:rsidR="003C329E" w:rsidP="00AF4187" w:rsidRDefault="003C329E" w14:paraId="1A4063C8" w14:textId="77777777">
            <w:pPr>
              <w:tabs>
                <w:tab w:val="left" w:pos="-720"/>
              </w:tabs>
              <w:suppressAutoHyphens/>
              <w:jc w:val="center"/>
              <w:rPr>
                <w:sz w:val="22"/>
                <w:szCs w:val="22"/>
              </w:rPr>
            </w:pPr>
          </w:p>
          <w:p w:rsidRPr="000F7AD5" w:rsidR="00C072B5" w:rsidP="00AF4187" w:rsidRDefault="00F50DD0" w14:paraId="58639791" w14:textId="02D479C1">
            <w:pPr>
              <w:jc w:val="center"/>
              <w:rPr>
                <w:sz w:val="22"/>
                <w:szCs w:val="22"/>
              </w:rPr>
            </w:pPr>
            <w:r w:rsidRPr="000F7AD5">
              <w:rPr>
                <w:sz w:val="22"/>
                <w:szCs w:val="22"/>
              </w:rPr>
              <w:sym w:font="Symbol" w:char="F0A3"/>
            </w:r>
            <w:r w:rsidRPr="000F7AD5">
              <w:rPr>
                <w:sz w:val="22"/>
                <w:szCs w:val="22"/>
              </w:rPr>
              <w:t xml:space="preserve"> 2.0 tons per rolling 12-month period</w:t>
            </w:r>
          </w:p>
        </w:tc>
      </w:tr>
      <w:tr w:rsidRPr="000F7AD5" w:rsidR="00C072B5" w:rsidTr="00AB7974" w14:paraId="6D7F1E41" w14:textId="77777777">
        <w:trPr>
          <w:cantSplit/>
          <w:trHeight w:val="1008"/>
          <w:jc w:val="center"/>
        </w:trPr>
        <w:tc>
          <w:tcPr>
            <w:tcW w:w="1165" w:type="dxa"/>
            <w:vAlign w:val="center"/>
          </w:tcPr>
          <w:p w:rsidRPr="000F7AD5" w:rsidR="00C072B5" w:rsidP="00163D28" w:rsidRDefault="00015ABE" w14:paraId="2DC25339" w14:textId="6AC24FA3">
            <w:pPr>
              <w:jc w:val="center"/>
              <w:rPr>
                <w:sz w:val="22"/>
                <w:szCs w:val="22"/>
              </w:rPr>
            </w:pPr>
            <w:r w:rsidRPr="000F7AD5">
              <w:rPr>
                <w:sz w:val="22"/>
                <w:szCs w:val="22"/>
              </w:rPr>
              <w:t>EU12</w:t>
            </w:r>
          </w:p>
        </w:tc>
        <w:tc>
          <w:tcPr>
            <w:tcW w:w="3690" w:type="dxa"/>
            <w:vAlign w:val="center"/>
          </w:tcPr>
          <w:p w:rsidRPr="006C02E8" w:rsidR="00C072B5" w:rsidP="006345E9" w:rsidRDefault="00222CF3" w14:paraId="12FF772B" w14:textId="2B5ABF99">
            <w:pPr>
              <w:pStyle w:val="ListParagraph"/>
              <w:ind w:left="374"/>
              <w:rPr>
                <w:sz w:val="22"/>
              </w:rPr>
            </w:pPr>
            <w:r w:rsidRPr="006C02E8">
              <w:rPr>
                <w:sz w:val="22"/>
              </w:rPr>
              <w:t>Restricted to miscellaneous bulk tanker hose disconnects during deliveries and tank evacuations &amp; venting for periodic tank maintenance and inspections</w:t>
            </w:r>
          </w:p>
        </w:tc>
        <w:tc>
          <w:tcPr>
            <w:tcW w:w="1584" w:type="dxa"/>
            <w:vAlign w:val="center"/>
          </w:tcPr>
          <w:p w:rsidRPr="000F7AD5" w:rsidR="0059597A" w:rsidP="00AF4187" w:rsidRDefault="0059597A" w14:paraId="6157AA33" w14:textId="77777777">
            <w:pPr>
              <w:tabs>
                <w:tab w:val="left" w:pos="-720"/>
              </w:tabs>
              <w:suppressAutoHyphens/>
              <w:jc w:val="center"/>
              <w:rPr>
                <w:sz w:val="22"/>
                <w:szCs w:val="22"/>
              </w:rPr>
            </w:pPr>
            <w:r w:rsidRPr="000F7AD5">
              <w:rPr>
                <w:sz w:val="22"/>
                <w:szCs w:val="22"/>
              </w:rPr>
              <w:t>VOC</w:t>
            </w:r>
          </w:p>
          <w:p w:rsidRPr="000F7AD5" w:rsidR="00C072B5" w:rsidP="00AF4187" w:rsidRDefault="00C072B5" w14:paraId="6D8B6EB5" w14:textId="77777777">
            <w:pPr>
              <w:jc w:val="center"/>
              <w:rPr>
                <w:sz w:val="22"/>
                <w:szCs w:val="22"/>
              </w:rPr>
            </w:pPr>
          </w:p>
        </w:tc>
        <w:tc>
          <w:tcPr>
            <w:tcW w:w="3456" w:type="dxa"/>
            <w:vAlign w:val="center"/>
          </w:tcPr>
          <w:p w:rsidRPr="000F7AD5" w:rsidR="0082126A" w:rsidP="00AF4187" w:rsidRDefault="0082126A" w14:paraId="0EE97CAC" w14:textId="5161EB73">
            <w:pPr>
              <w:tabs>
                <w:tab w:val="left" w:pos="-720"/>
              </w:tabs>
              <w:suppressAutoHyphens/>
              <w:jc w:val="center"/>
              <w:rPr>
                <w:sz w:val="22"/>
                <w:szCs w:val="22"/>
              </w:rPr>
            </w:pPr>
            <w:r w:rsidRPr="000F7AD5">
              <w:rPr>
                <w:sz w:val="22"/>
                <w:szCs w:val="22"/>
              </w:rPr>
              <w:sym w:font="Symbol" w:char="F0A3"/>
            </w:r>
            <w:r w:rsidRPr="000F7AD5">
              <w:rPr>
                <w:sz w:val="22"/>
                <w:szCs w:val="22"/>
              </w:rPr>
              <w:t xml:space="preserve"> 2.0 tons per month</w:t>
            </w:r>
          </w:p>
          <w:p w:rsidRPr="000F7AD5" w:rsidR="003C329E" w:rsidP="00AF4187" w:rsidRDefault="003C329E" w14:paraId="3427110D" w14:textId="77777777">
            <w:pPr>
              <w:tabs>
                <w:tab w:val="left" w:pos="-720"/>
              </w:tabs>
              <w:suppressAutoHyphens/>
              <w:jc w:val="center"/>
              <w:rPr>
                <w:sz w:val="22"/>
                <w:szCs w:val="22"/>
              </w:rPr>
            </w:pPr>
          </w:p>
          <w:p w:rsidRPr="000F7AD5" w:rsidR="00C072B5" w:rsidP="00AF4187" w:rsidRDefault="0082126A" w14:paraId="1922F78A" w14:textId="31B69ABB">
            <w:pPr>
              <w:jc w:val="center"/>
              <w:rPr>
                <w:sz w:val="22"/>
                <w:szCs w:val="22"/>
              </w:rPr>
            </w:pPr>
            <w:r w:rsidRPr="000F7AD5">
              <w:rPr>
                <w:sz w:val="22"/>
                <w:szCs w:val="22"/>
              </w:rPr>
              <w:sym w:font="Symbol" w:char="F0A3"/>
            </w:r>
            <w:r w:rsidRPr="000F7AD5">
              <w:rPr>
                <w:sz w:val="22"/>
                <w:szCs w:val="22"/>
              </w:rPr>
              <w:t xml:space="preserve"> 4.0 tons per rolling 12-month period</w:t>
            </w:r>
          </w:p>
        </w:tc>
      </w:tr>
      <w:tr w:rsidRPr="000F7AD5" w:rsidR="00C072B5" w:rsidTr="00AB7974" w14:paraId="5BDDC171" w14:textId="77777777">
        <w:trPr>
          <w:cantSplit/>
          <w:trHeight w:val="288"/>
          <w:jc w:val="center"/>
        </w:trPr>
        <w:tc>
          <w:tcPr>
            <w:tcW w:w="1165" w:type="dxa"/>
            <w:vAlign w:val="center"/>
          </w:tcPr>
          <w:p w:rsidRPr="000F7AD5" w:rsidR="009011B6" w:rsidP="00163D28" w:rsidRDefault="009011B6" w14:paraId="2839F158" w14:textId="77777777">
            <w:pPr>
              <w:tabs>
                <w:tab w:val="left" w:pos="-720"/>
              </w:tabs>
              <w:suppressAutoHyphens/>
              <w:jc w:val="center"/>
              <w:rPr>
                <w:sz w:val="22"/>
                <w:szCs w:val="22"/>
              </w:rPr>
            </w:pPr>
            <w:r w:rsidRPr="000F7AD5">
              <w:rPr>
                <w:sz w:val="22"/>
                <w:szCs w:val="22"/>
              </w:rPr>
              <w:t>EU13</w:t>
            </w:r>
          </w:p>
          <w:p w:rsidRPr="000F7AD5" w:rsidR="00C072B5" w:rsidP="00163D28" w:rsidRDefault="009011B6" w14:paraId="40B89B80" w14:textId="51EC722B">
            <w:pPr>
              <w:jc w:val="center"/>
              <w:rPr>
                <w:sz w:val="22"/>
                <w:szCs w:val="22"/>
              </w:rPr>
            </w:pPr>
            <w:r w:rsidRPr="000F7AD5">
              <w:rPr>
                <w:sz w:val="22"/>
                <w:szCs w:val="22"/>
              </w:rPr>
              <w:t>EU14</w:t>
            </w:r>
          </w:p>
        </w:tc>
        <w:tc>
          <w:tcPr>
            <w:tcW w:w="3690" w:type="dxa"/>
            <w:vAlign w:val="center"/>
          </w:tcPr>
          <w:p w:rsidRPr="006C02E8" w:rsidR="00C072B5" w:rsidP="006345E9" w:rsidRDefault="003B19AD" w14:paraId="053248F5" w14:textId="29B67F3E">
            <w:pPr>
              <w:pStyle w:val="ListParagraph"/>
              <w:ind w:left="374"/>
              <w:rPr>
                <w:sz w:val="22"/>
              </w:rPr>
            </w:pPr>
            <w:r w:rsidRPr="006C02E8">
              <w:rPr>
                <w:sz w:val="22"/>
              </w:rPr>
              <w:t>No. 2 fuel oil</w:t>
            </w:r>
            <w:r w:rsidRPr="006C02E8" w:rsidR="00D35277">
              <w:rPr>
                <w:sz w:val="22"/>
              </w:rPr>
              <w:t xml:space="preserve"> </w:t>
            </w:r>
            <w:r w:rsidRPr="00CA36EB" w:rsidR="00CA36EB">
              <w:rPr>
                <w:sz w:val="22"/>
                <w:u w:val="single"/>
              </w:rPr>
              <w:t>&lt;</w:t>
            </w:r>
            <w:r w:rsidR="00CA36EB">
              <w:rPr>
                <w:sz w:val="22"/>
                <w:u w:val="single"/>
              </w:rPr>
              <w:t xml:space="preserve"> </w:t>
            </w:r>
            <w:r w:rsidRPr="006C02E8">
              <w:rPr>
                <w:sz w:val="22"/>
              </w:rPr>
              <w:t>0.0015% Sulfur by weight</w:t>
            </w:r>
            <w:r w:rsidRPr="006C02E8" w:rsidR="00622A12">
              <w:rPr>
                <w:sz w:val="22"/>
              </w:rPr>
              <w:t xml:space="preserve"> </w:t>
            </w:r>
            <w:r w:rsidRPr="006C02E8" w:rsidR="006518DA">
              <w:rPr>
                <w:sz w:val="22"/>
              </w:rPr>
              <w:t>/</w:t>
            </w:r>
            <w:r w:rsidRPr="006C02E8" w:rsidR="0025052B">
              <w:rPr>
                <w:sz w:val="22"/>
              </w:rPr>
              <w:t xml:space="preserve"> </w:t>
            </w:r>
            <w:r w:rsidRPr="000F7AD5" w:rsidR="006518DA">
              <w:sym w:font="Symbol" w:char="F0A3"/>
            </w:r>
            <w:r w:rsidRPr="006C02E8" w:rsidR="006518DA">
              <w:rPr>
                <w:sz w:val="22"/>
              </w:rPr>
              <w:t xml:space="preserve"> 167 gallons per month, combined</w:t>
            </w:r>
            <w:r w:rsidRPr="006C02E8" w:rsidR="00450DF0">
              <w:rPr>
                <w:sz w:val="22"/>
              </w:rPr>
              <w:t xml:space="preserve">, </w:t>
            </w:r>
            <w:r w:rsidRPr="000F7AD5" w:rsidR="006518DA">
              <w:sym w:font="Symbol" w:char="F0A3"/>
            </w:r>
            <w:r w:rsidRPr="006C02E8" w:rsidR="006518DA">
              <w:rPr>
                <w:sz w:val="22"/>
              </w:rPr>
              <w:t xml:space="preserve"> 2000 gallons per </w:t>
            </w:r>
            <w:r w:rsidRPr="006C02E8" w:rsidR="002D2CF2">
              <w:rPr>
                <w:sz w:val="22"/>
              </w:rPr>
              <w:t>rolling 12</w:t>
            </w:r>
            <w:r w:rsidRPr="006C02E8" w:rsidR="006518DA">
              <w:rPr>
                <w:sz w:val="22"/>
              </w:rPr>
              <w:t>-month period, combined</w:t>
            </w:r>
          </w:p>
        </w:tc>
        <w:tc>
          <w:tcPr>
            <w:tcW w:w="1584" w:type="dxa"/>
            <w:vAlign w:val="center"/>
          </w:tcPr>
          <w:p w:rsidRPr="000F7AD5" w:rsidR="00C072B5" w:rsidP="00AF4187" w:rsidRDefault="000310F0" w14:paraId="75258F1B" w14:textId="08549670">
            <w:pPr>
              <w:jc w:val="center"/>
              <w:rPr>
                <w:sz w:val="22"/>
                <w:szCs w:val="22"/>
              </w:rPr>
            </w:pPr>
            <w:r w:rsidRPr="000F7AD5">
              <w:rPr>
                <w:sz w:val="22"/>
                <w:szCs w:val="22"/>
              </w:rPr>
              <w:t>Sulfur in fuel</w:t>
            </w:r>
          </w:p>
        </w:tc>
        <w:tc>
          <w:tcPr>
            <w:tcW w:w="3456" w:type="dxa"/>
            <w:vAlign w:val="center"/>
          </w:tcPr>
          <w:p w:rsidRPr="000F7AD5" w:rsidR="00C072B5" w:rsidP="00AF4187" w:rsidRDefault="00E9718C" w14:paraId="3CEFF02D" w14:textId="58F6632F">
            <w:pPr>
              <w:jc w:val="center"/>
              <w:rPr>
                <w:sz w:val="22"/>
                <w:szCs w:val="22"/>
              </w:rPr>
            </w:pPr>
            <w:r w:rsidRPr="000F7AD5">
              <w:rPr>
                <w:sz w:val="22"/>
                <w:szCs w:val="22"/>
                <w:u w:val="single"/>
              </w:rPr>
              <w:t>&lt;</w:t>
            </w:r>
            <w:r w:rsidRPr="000F7AD5">
              <w:rPr>
                <w:sz w:val="22"/>
                <w:szCs w:val="22"/>
              </w:rPr>
              <w:t xml:space="preserve"> 15 ppm</w:t>
            </w:r>
          </w:p>
        </w:tc>
      </w:tr>
      <w:tr w:rsidRPr="000F7AD5" w:rsidR="00C072B5" w:rsidTr="00AB7974" w14:paraId="155E03F1" w14:textId="77777777">
        <w:trPr>
          <w:cantSplit/>
          <w:trHeight w:val="1008"/>
          <w:jc w:val="center"/>
        </w:trPr>
        <w:tc>
          <w:tcPr>
            <w:tcW w:w="1165" w:type="dxa"/>
            <w:vAlign w:val="center"/>
          </w:tcPr>
          <w:p w:rsidRPr="000F7AD5" w:rsidR="00C072B5" w:rsidP="00163D28" w:rsidRDefault="00EF7107" w14:paraId="6552F6BF" w14:textId="6F26FE8A">
            <w:pPr>
              <w:jc w:val="center"/>
              <w:rPr>
                <w:sz w:val="22"/>
                <w:szCs w:val="22"/>
              </w:rPr>
            </w:pPr>
            <w:r w:rsidRPr="000F7AD5">
              <w:rPr>
                <w:sz w:val="22"/>
                <w:szCs w:val="22"/>
              </w:rPr>
              <w:t>EU17</w:t>
            </w:r>
          </w:p>
        </w:tc>
        <w:tc>
          <w:tcPr>
            <w:tcW w:w="3690" w:type="dxa"/>
            <w:vAlign w:val="center"/>
          </w:tcPr>
          <w:p w:rsidRPr="00C45C58" w:rsidR="00C072B5" w:rsidP="006345E9" w:rsidRDefault="00C655A4" w14:paraId="3AD0F067" w14:textId="63EE8B33">
            <w:pPr>
              <w:pStyle w:val="ListParagraph"/>
              <w:tabs>
                <w:tab w:val="left" w:pos="-720"/>
              </w:tabs>
              <w:suppressAutoHyphens/>
              <w:ind w:left="376"/>
              <w:rPr>
                <w:rFonts w:cs="Times New Roman"/>
                <w:sz w:val="22"/>
              </w:rPr>
            </w:pPr>
            <w:r w:rsidRPr="000F7AD5">
              <w:rPr>
                <w:rFonts w:cs="Times New Roman"/>
                <w:sz w:val="22"/>
              </w:rPr>
              <w:t>NA</w:t>
            </w:r>
          </w:p>
        </w:tc>
        <w:tc>
          <w:tcPr>
            <w:tcW w:w="1584" w:type="dxa"/>
            <w:vAlign w:val="center"/>
          </w:tcPr>
          <w:p w:rsidRPr="000F7AD5" w:rsidR="00C072B5" w:rsidP="00AF4187" w:rsidRDefault="00016DD8" w14:paraId="7CA37249" w14:textId="53400772">
            <w:pPr>
              <w:jc w:val="center"/>
              <w:rPr>
                <w:sz w:val="22"/>
                <w:szCs w:val="22"/>
              </w:rPr>
            </w:pPr>
            <w:r w:rsidRPr="000F7AD5">
              <w:rPr>
                <w:sz w:val="22"/>
                <w:szCs w:val="22"/>
              </w:rPr>
              <w:t>VOC</w:t>
            </w:r>
          </w:p>
        </w:tc>
        <w:tc>
          <w:tcPr>
            <w:tcW w:w="3456" w:type="dxa"/>
            <w:vAlign w:val="center"/>
          </w:tcPr>
          <w:p w:rsidRPr="000F7AD5" w:rsidR="00517AD6" w:rsidP="00943073" w:rsidRDefault="00517AD6" w14:paraId="40269967" w14:textId="77777777">
            <w:pPr>
              <w:jc w:val="center"/>
              <w:rPr>
                <w:sz w:val="22"/>
                <w:szCs w:val="22"/>
              </w:rPr>
            </w:pPr>
            <w:r w:rsidRPr="000F7AD5">
              <w:rPr>
                <w:sz w:val="22"/>
                <w:szCs w:val="22"/>
              </w:rPr>
              <w:sym w:font="Symbol" w:char="F0A3"/>
            </w:r>
            <w:r w:rsidRPr="000F7AD5">
              <w:rPr>
                <w:sz w:val="22"/>
                <w:szCs w:val="22"/>
              </w:rPr>
              <w:t xml:space="preserve"> 1.4 tons per month</w:t>
            </w:r>
          </w:p>
          <w:p w:rsidRPr="000F7AD5" w:rsidR="00517AD6" w:rsidP="00943073" w:rsidRDefault="00517AD6" w14:paraId="23D7D378" w14:textId="77777777">
            <w:pPr>
              <w:jc w:val="center"/>
              <w:rPr>
                <w:sz w:val="22"/>
                <w:szCs w:val="22"/>
              </w:rPr>
            </w:pPr>
          </w:p>
          <w:p w:rsidRPr="000F7AD5" w:rsidR="00517AD6" w:rsidP="00943073" w:rsidRDefault="00517AD6" w14:paraId="29D86E46" w14:textId="2E2A90E6">
            <w:pPr>
              <w:jc w:val="center"/>
              <w:rPr>
                <w:sz w:val="22"/>
                <w:szCs w:val="22"/>
              </w:rPr>
            </w:pPr>
            <w:r w:rsidRPr="000F7AD5">
              <w:rPr>
                <w:sz w:val="22"/>
                <w:szCs w:val="22"/>
              </w:rPr>
              <w:sym w:font="Symbol" w:char="F0A3"/>
            </w:r>
            <w:r w:rsidRPr="000F7AD5">
              <w:rPr>
                <w:sz w:val="22"/>
                <w:szCs w:val="22"/>
              </w:rPr>
              <w:t xml:space="preserve"> 6.0 tons per rolling</w:t>
            </w:r>
          </w:p>
          <w:p w:rsidRPr="000F7AD5" w:rsidR="00C072B5" w:rsidP="00867DB8" w:rsidRDefault="00517AD6" w14:paraId="256456AD" w14:textId="03575403">
            <w:pPr>
              <w:jc w:val="center"/>
              <w:rPr>
                <w:sz w:val="22"/>
                <w:szCs w:val="22"/>
              </w:rPr>
            </w:pPr>
            <w:r w:rsidRPr="000F7AD5">
              <w:rPr>
                <w:sz w:val="22"/>
                <w:szCs w:val="22"/>
              </w:rPr>
              <w:t>12-month period</w:t>
            </w:r>
          </w:p>
        </w:tc>
      </w:tr>
      <w:tr w:rsidRPr="000F7AD5" w:rsidR="00C072B5" w:rsidTr="00AB7974" w14:paraId="3C78EEE1" w14:textId="77777777">
        <w:trPr>
          <w:cantSplit/>
          <w:trHeight w:val="1008"/>
          <w:jc w:val="center"/>
        </w:trPr>
        <w:tc>
          <w:tcPr>
            <w:tcW w:w="1165" w:type="dxa"/>
            <w:vAlign w:val="center"/>
          </w:tcPr>
          <w:p w:rsidRPr="000F7AD5" w:rsidR="00C072B5" w:rsidP="00163D28" w:rsidRDefault="00FF201E" w14:paraId="52C9E6E7" w14:textId="430577D4">
            <w:pPr>
              <w:jc w:val="center"/>
              <w:rPr>
                <w:sz w:val="22"/>
                <w:szCs w:val="22"/>
              </w:rPr>
            </w:pPr>
            <w:r w:rsidRPr="000F7AD5">
              <w:rPr>
                <w:sz w:val="22"/>
                <w:szCs w:val="22"/>
              </w:rPr>
              <w:t>EU19</w:t>
            </w:r>
          </w:p>
        </w:tc>
        <w:tc>
          <w:tcPr>
            <w:tcW w:w="3690" w:type="dxa"/>
            <w:vAlign w:val="center"/>
          </w:tcPr>
          <w:p w:rsidRPr="000F7AD5" w:rsidR="00C072B5" w:rsidP="006345E9" w:rsidRDefault="00474819" w14:paraId="26AC0828" w14:textId="306D79BC">
            <w:pPr>
              <w:pStyle w:val="ListParagraph"/>
              <w:tabs>
                <w:tab w:val="left" w:pos="-720"/>
              </w:tabs>
              <w:suppressAutoHyphens/>
              <w:ind w:left="376"/>
              <w:rPr>
                <w:rFonts w:cs="Times New Roman"/>
                <w:sz w:val="22"/>
              </w:rPr>
            </w:pPr>
            <w:r w:rsidRPr="000F7AD5">
              <w:rPr>
                <w:rFonts w:cs="Times New Roman"/>
                <w:sz w:val="22"/>
              </w:rPr>
              <w:t>NA</w:t>
            </w:r>
          </w:p>
        </w:tc>
        <w:tc>
          <w:tcPr>
            <w:tcW w:w="1584" w:type="dxa"/>
            <w:vAlign w:val="center"/>
          </w:tcPr>
          <w:p w:rsidRPr="000F7AD5" w:rsidR="00C072B5" w:rsidP="00AF4187" w:rsidRDefault="009C776D" w14:paraId="30C1B103" w14:textId="65C1F123">
            <w:pPr>
              <w:jc w:val="center"/>
              <w:rPr>
                <w:sz w:val="22"/>
                <w:szCs w:val="22"/>
              </w:rPr>
            </w:pPr>
            <w:r w:rsidRPr="000F7AD5">
              <w:rPr>
                <w:sz w:val="22"/>
                <w:szCs w:val="22"/>
              </w:rPr>
              <w:t>VOC</w:t>
            </w:r>
          </w:p>
        </w:tc>
        <w:tc>
          <w:tcPr>
            <w:tcW w:w="3456" w:type="dxa"/>
            <w:vAlign w:val="center"/>
          </w:tcPr>
          <w:p w:rsidRPr="000F7AD5" w:rsidR="00F51301" w:rsidP="00943073" w:rsidRDefault="00F51301" w14:paraId="396CC86B" w14:textId="77777777">
            <w:pPr>
              <w:jc w:val="center"/>
              <w:rPr>
                <w:sz w:val="22"/>
                <w:szCs w:val="22"/>
              </w:rPr>
            </w:pPr>
            <w:r w:rsidRPr="000F7AD5">
              <w:rPr>
                <w:sz w:val="22"/>
                <w:szCs w:val="22"/>
              </w:rPr>
              <w:sym w:font="Symbol" w:char="F0A3"/>
            </w:r>
            <w:r w:rsidRPr="000F7AD5">
              <w:rPr>
                <w:sz w:val="22"/>
                <w:szCs w:val="22"/>
              </w:rPr>
              <w:t xml:space="preserve"> 1 ton per month</w:t>
            </w:r>
          </w:p>
          <w:p w:rsidRPr="000F7AD5" w:rsidR="00F51301" w:rsidP="00943073" w:rsidRDefault="00F51301" w14:paraId="1D518731" w14:textId="77777777">
            <w:pPr>
              <w:jc w:val="center"/>
              <w:rPr>
                <w:sz w:val="22"/>
                <w:szCs w:val="22"/>
              </w:rPr>
            </w:pPr>
          </w:p>
          <w:p w:rsidRPr="000F7AD5" w:rsidR="00F51301" w:rsidP="00943073" w:rsidRDefault="00F51301" w14:paraId="5BBC1FDE" w14:textId="320586F2">
            <w:pPr>
              <w:jc w:val="center"/>
              <w:rPr>
                <w:sz w:val="22"/>
                <w:szCs w:val="22"/>
              </w:rPr>
            </w:pPr>
            <w:r w:rsidRPr="000F7AD5">
              <w:rPr>
                <w:sz w:val="22"/>
                <w:szCs w:val="22"/>
              </w:rPr>
              <w:sym w:font="Symbol" w:char="F0A3"/>
            </w:r>
            <w:r w:rsidRPr="000F7AD5">
              <w:rPr>
                <w:sz w:val="22"/>
                <w:szCs w:val="22"/>
              </w:rPr>
              <w:t xml:space="preserve"> 3 tons per rolling</w:t>
            </w:r>
          </w:p>
          <w:p w:rsidRPr="000F7AD5" w:rsidR="00C072B5" w:rsidP="00867DB8" w:rsidRDefault="00F51301" w14:paraId="11B088B3" w14:textId="5F4ABF0F">
            <w:pPr>
              <w:jc w:val="center"/>
              <w:rPr>
                <w:sz w:val="22"/>
                <w:szCs w:val="22"/>
              </w:rPr>
            </w:pPr>
            <w:r w:rsidRPr="000F7AD5">
              <w:rPr>
                <w:sz w:val="22"/>
                <w:szCs w:val="22"/>
              </w:rPr>
              <w:t>12-month period</w:t>
            </w:r>
          </w:p>
        </w:tc>
      </w:tr>
      <w:tr w:rsidRPr="000F7AD5" w:rsidR="00C072B5" w:rsidTr="00AB7974" w14:paraId="6F24CCF6" w14:textId="77777777">
        <w:trPr>
          <w:cantSplit/>
          <w:trHeight w:val="1008"/>
          <w:jc w:val="center"/>
        </w:trPr>
        <w:tc>
          <w:tcPr>
            <w:tcW w:w="1165" w:type="dxa"/>
            <w:vAlign w:val="center"/>
          </w:tcPr>
          <w:p w:rsidRPr="000F7AD5" w:rsidR="00C072B5" w:rsidP="00163D28" w:rsidRDefault="007A0113" w14:paraId="0670FBE4" w14:textId="7B9D7D71">
            <w:pPr>
              <w:jc w:val="center"/>
              <w:rPr>
                <w:sz w:val="22"/>
                <w:szCs w:val="22"/>
              </w:rPr>
            </w:pPr>
            <w:r w:rsidRPr="000F7AD5">
              <w:rPr>
                <w:sz w:val="22"/>
                <w:szCs w:val="22"/>
              </w:rPr>
              <w:t>EU25</w:t>
            </w:r>
          </w:p>
        </w:tc>
        <w:tc>
          <w:tcPr>
            <w:tcW w:w="3690" w:type="dxa"/>
            <w:vAlign w:val="center"/>
          </w:tcPr>
          <w:p w:rsidRPr="000F7AD5" w:rsidR="00C072B5" w:rsidP="006345E9" w:rsidRDefault="00892DA9" w14:paraId="377C1E9D" w14:textId="5F8E0FA7">
            <w:pPr>
              <w:pStyle w:val="ListParagraph"/>
              <w:ind w:left="376"/>
              <w:rPr>
                <w:rFonts w:cs="Times New Roman"/>
                <w:sz w:val="22"/>
              </w:rPr>
            </w:pPr>
            <w:r w:rsidRPr="000F7AD5">
              <w:rPr>
                <w:rFonts w:cs="Times New Roman"/>
                <w:sz w:val="22"/>
              </w:rPr>
              <w:t>NA</w:t>
            </w:r>
          </w:p>
        </w:tc>
        <w:tc>
          <w:tcPr>
            <w:tcW w:w="1584" w:type="dxa"/>
            <w:vAlign w:val="center"/>
          </w:tcPr>
          <w:p w:rsidRPr="000F7AD5" w:rsidR="00C072B5" w:rsidP="00AF4187" w:rsidRDefault="009C776D" w14:paraId="2FAF3D23" w14:textId="070A2123">
            <w:pPr>
              <w:jc w:val="center"/>
              <w:rPr>
                <w:sz w:val="22"/>
                <w:szCs w:val="22"/>
              </w:rPr>
            </w:pPr>
            <w:r w:rsidRPr="000F7AD5">
              <w:rPr>
                <w:sz w:val="22"/>
                <w:szCs w:val="22"/>
              </w:rPr>
              <w:t>VOC</w:t>
            </w:r>
          </w:p>
        </w:tc>
        <w:tc>
          <w:tcPr>
            <w:tcW w:w="3456" w:type="dxa"/>
            <w:vAlign w:val="center"/>
          </w:tcPr>
          <w:p w:rsidRPr="000F7AD5" w:rsidR="00DF1626" w:rsidP="00943073" w:rsidRDefault="00DF1626" w14:paraId="74A1CC99" w14:textId="4617CB5E">
            <w:pPr>
              <w:jc w:val="center"/>
              <w:rPr>
                <w:sz w:val="22"/>
                <w:szCs w:val="22"/>
              </w:rPr>
            </w:pPr>
            <w:r w:rsidRPr="000F7AD5">
              <w:rPr>
                <w:sz w:val="22"/>
                <w:szCs w:val="22"/>
              </w:rPr>
              <w:sym w:font="Symbol" w:char="F0A3"/>
            </w:r>
            <w:r w:rsidRPr="000F7AD5">
              <w:rPr>
                <w:sz w:val="22"/>
                <w:szCs w:val="22"/>
              </w:rPr>
              <w:t xml:space="preserve"> 1.0 ton per month</w:t>
            </w:r>
          </w:p>
          <w:p w:rsidRPr="000F7AD5" w:rsidR="00DF1626" w:rsidP="00943073" w:rsidRDefault="00DF1626" w14:paraId="7E32F088" w14:textId="77777777">
            <w:pPr>
              <w:jc w:val="center"/>
              <w:rPr>
                <w:sz w:val="22"/>
                <w:szCs w:val="22"/>
              </w:rPr>
            </w:pPr>
          </w:p>
          <w:p w:rsidRPr="000F7AD5" w:rsidR="00C072B5" w:rsidP="00867DB8" w:rsidRDefault="00DF1626" w14:paraId="70C921DB" w14:textId="1916BF05">
            <w:pPr>
              <w:jc w:val="center"/>
              <w:rPr>
                <w:sz w:val="22"/>
                <w:szCs w:val="22"/>
              </w:rPr>
            </w:pPr>
            <w:r w:rsidRPr="000F7AD5">
              <w:rPr>
                <w:sz w:val="22"/>
                <w:szCs w:val="22"/>
              </w:rPr>
              <w:sym w:font="Symbol" w:char="F0A3"/>
            </w:r>
            <w:r w:rsidRPr="000F7AD5">
              <w:rPr>
                <w:sz w:val="22"/>
                <w:szCs w:val="22"/>
              </w:rPr>
              <w:t xml:space="preserve"> 4.0 tons per rolling 12-month period</w:t>
            </w:r>
          </w:p>
        </w:tc>
      </w:tr>
      <w:tr w:rsidRPr="000F7AD5" w:rsidR="00C072B5" w:rsidTr="00AB7974" w14:paraId="046DF652" w14:textId="77777777">
        <w:trPr>
          <w:cantSplit/>
          <w:trHeight w:val="1152"/>
          <w:jc w:val="center"/>
        </w:trPr>
        <w:tc>
          <w:tcPr>
            <w:tcW w:w="1165" w:type="dxa"/>
            <w:vAlign w:val="center"/>
          </w:tcPr>
          <w:p w:rsidRPr="000F7AD5" w:rsidR="00C072B5" w:rsidP="00163D28" w:rsidRDefault="00097C29" w14:paraId="71D7E3B0" w14:textId="6B209B40">
            <w:pPr>
              <w:jc w:val="center"/>
              <w:rPr>
                <w:sz w:val="22"/>
                <w:szCs w:val="22"/>
              </w:rPr>
            </w:pPr>
            <w:r w:rsidRPr="000F7AD5">
              <w:rPr>
                <w:sz w:val="22"/>
                <w:szCs w:val="22"/>
              </w:rPr>
              <w:t>EU26</w:t>
            </w:r>
          </w:p>
        </w:tc>
        <w:tc>
          <w:tcPr>
            <w:tcW w:w="3690" w:type="dxa"/>
            <w:vAlign w:val="center"/>
          </w:tcPr>
          <w:p w:rsidRPr="000F7AD5" w:rsidR="00C072B5" w:rsidP="006345E9" w:rsidRDefault="00785746" w14:paraId="0246CD8E" w14:textId="4CB4E2F7">
            <w:pPr>
              <w:pStyle w:val="ListParagraph"/>
              <w:ind w:left="376"/>
              <w:rPr>
                <w:rFonts w:cs="Times New Roman"/>
                <w:sz w:val="22"/>
              </w:rPr>
            </w:pPr>
            <w:r w:rsidRPr="000F7AD5">
              <w:rPr>
                <w:rFonts w:cs="Times New Roman"/>
                <w:sz w:val="22"/>
              </w:rPr>
              <w:t>NA</w:t>
            </w:r>
          </w:p>
        </w:tc>
        <w:tc>
          <w:tcPr>
            <w:tcW w:w="1584" w:type="dxa"/>
            <w:vAlign w:val="center"/>
          </w:tcPr>
          <w:p w:rsidRPr="000F7AD5" w:rsidR="00C072B5" w:rsidP="00AF4187" w:rsidRDefault="00BF0DCC" w14:paraId="71486260" w14:textId="6109B2EB">
            <w:pPr>
              <w:jc w:val="center"/>
              <w:rPr>
                <w:sz w:val="22"/>
                <w:szCs w:val="22"/>
              </w:rPr>
            </w:pPr>
            <w:r w:rsidRPr="000F7AD5">
              <w:rPr>
                <w:sz w:val="22"/>
                <w:szCs w:val="22"/>
              </w:rPr>
              <w:t>VOC</w:t>
            </w:r>
          </w:p>
        </w:tc>
        <w:tc>
          <w:tcPr>
            <w:tcW w:w="3456" w:type="dxa"/>
            <w:vAlign w:val="center"/>
          </w:tcPr>
          <w:p w:rsidRPr="000F7AD5" w:rsidR="00412DDC" w:rsidP="00943073" w:rsidRDefault="00412DDC" w14:paraId="029844CC" w14:textId="4A8D30E9">
            <w:pPr>
              <w:tabs>
                <w:tab w:val="left" w:pos="-720"/>
              </w:tabs>
              <w:suppressAutoHyphens/>
              <w:jc w:val="center"/>
              <w:rPr>
                <w:sz w:val="22"/>
                <w:szCs w:val="22"/>
              </w:rPr>
            </w:pPr>
            <w:r w:rsidRPr="000F7AD5">
              <w:rPr>
                <w:sz w:val="22"/>
                <w:szCs w:val="22"/>
              </w:rPr>
              <w:sym w:font="Symbol" w:char="F0A3"/>
            </w:r>
            <w:r w:rsidRPr="000F7AD5">
              <w:rPr>
                <w:sz w:val="22"/>
                <w:szCs w:val="22"/>
              </w:rPr>
              <w:t xml:space="preserve"> 1.0 ton per month</w:t>
            </w:r>
          </w:p>
          <w:p w:rsidRPr="000F7AD5" w:rsidR="00412DDC" w:rsidP="00943073" w:rsidRDefault="00412DDC" w14:paraId="2693E907" w14:textId="77777777">
            <w:pPr>
              <w:tabs>
                <w:tab w:val="left" w:pos="-720"/>
              </w:tabs>
              <w:suppressAutoHyphens/>
              <w:jc w:val="center"/>
              <w:rPr>
                <w:sz w:val="22"/>
                <w:szCs w:val="22"/>
              </w:rPr>
            </w:pPr>
          </w:p>
          <w:p w:rsidRPr="000F7AD5" w:rsidR="00C072B5" w:rsidP="00867DB8" w:rsidRDefault="00412DDC" w14:paraId="00F2FA03" w14:textId="7D71388C">
            <w:pPr>
              <w:tabs>
                <w:tab w:val="left" w:pos="-720"/>
              </w:tabs>
              <w:suppressAutoHyphens/>
              <w:jc w:val="center"/>
              <w:rPr>
                <w:sz w:val="22"/>
                <w:szCs w:val="22"/>
              </w:rPr>
            </w:pPr>
            <w:r w:rsidRPr="000F7AD5">
              <w:rPr>
                <w:sz w:val="22"/>
                <w:szCs w:val="22"/>
              </w:rPr>
              <w:t xml:space="preserve"> </w:t>
            </w:r>
            <w:r w:rsidRPr="000F7AD5" w:rsidR="00A01D6E">
              <w:rPr>
                <w:sz w:val="22"/>
                <w:szCs w:val="22"/>
              </w:rPr>
              <w:t xml:space="preserve"> </w:t>
            </w:r>
            <w:r w:rsidRPr="00EF32C2" w:rsidR="00EF32C2">
              <w:rPr>
                <w:sz w:val="22"/>
                <w:szCs w:val="22"/>
              </w:rPr>
              <w:t xml:space="preserve"> &lt; </w:t>
            </w:r>
            <w:r w:rsidRPr="000F7AD5">
              <w:rPr>
                <w:sz w:val="22"/>
                <w:szCs w:val="22"/>
              </w:rPr>
              <w:t>3.0 tons per rolling 12-month period</w:t>
            </w:r>
          </w:p>
        </w:tc>
      </w:tr>
      <w:tr w:rsidRPr="000F7AD5" w:rsidR="00C86AFF" w:rsidTr="00AB7974" w14:paraId="5A3A28BF" w14:textId="77777777">
        <w:trPr>
          <w:cantSplit/>
          <w:trHeight w:val="1491"/>
          <w:jc w:val="center"/>
        </w:trPr>
        <w:tc>
          <w:tcPr>
            <w:tcW w:w="1165" w:type="dxa"/>
            <w:vMerge w:val="restart"/>
            <w:vAlign w:val="center"/>
          </w:tcPr>
          <w:p w:rsidRPr="000F7AD5" w:rsidR="00C86AFF" w:rsidP="00163D28" w:rsidRDefault="00C86AFF" w14:paraId="098F683B" w14:textId="03F9842A">
            <w:pPr>
              <w:jc w:val="center"/>
              <w:rPr>
                <w:sz w:val="22"/>
                <w:szCs w:val="22"/>
              </w:rPr>
            </w:pPr>
            <w:r w:rsidRPr="000F7AD5">
              <w:rPr>
                <w:sz w:val="22"/>
                <w:szCs w:val="22"/>
              </w:rPr>
              <w:t>EU27</w:t>
            </w:r>
          </w:p>
        </w:tc>
        <w:tc>
          <w:tcPr>
            <w:tcW w:w="3690" w:type="dxa"/>
            <w:vMerge w:val="restart"/>
            <w:vAlign w:val="center"/>
          </w:tcPr>
          <w:p w:rsidRPr="000F7AD5" w:rsidR="00C86AFF" w:rsidP="006345E9" w:rsidRDefault="00C86AFF" w14:paraId="5D9E667F" w14:textId="0583CB34">
            <w:pPr>
              <w:pStyle w:val="ListParagraph"/>
              <w:ind w:left="456"/>
              <w:rPr>
                <w:rFonts w:cs="Times New Roman"/>
                <w:sz w:val="22"/>
              </w:rPr>
            </w:pPr>
            <w:r w:rsidRPr="000F7AD5">
              <w:rPr>
                <w:rFonts w:cs="Times New Roman"/>
                <w:color w:val="000000" w:themeColor="text1"/>
                <w:sz w:val="22"/>
              </w:rPr>
              <w:t>1854.5 gal</w:t>
            </w:r>
            <w:r w:rsidRPr="000F7AD5" w:rsidR="00AC1DD3">
              <w:rPr>
                <w:rFonts w:cs="Times New Roman"/>
                <w:color w:val="000000" w:themeColor="text1"/>
                <w:sz w:val="22"/>
              </w:rPr>
              <w:t>lon</w:t>
            </w:r>
            <w:r w:rsidRPr="000F7AD5" w:rsidR="003B1DB0">
              <w:rPr>
                <w:rFonts w:cs="Times New Roman"/>
                <w:color w:val="000000" w:themeColor="text1"/>
                <w:sz w:val="22"/>
              </w:rPr>
              <w:t>s</w:t>
            </w:r>
            <w:r w:rsidRPr="000F7AD5" w:rsidR="004970E9">
              <w:rPr>
                <w:rFonts w:cs="Times New Roman"/>
                <w:color w:val="000000" w:themeColor="text1"/>
                <w:sz w:val="22"/>
              </w:rPr>
              <w:t xml:space="preserve"> of perforation press lubricating oil</w:t>
            </w:r>
            <w:r w:rsidR="00DF2AEC">
              <w:t xml:space="preserve"> </w:t>
            </w:r>
            <w:r w:rsidRPr="00DF2AEC" w:rsidR="00DF2AEC">
              <w:rPr>
                <w:rFonts w:cs="Times New Roman"/>
                <w:color w:val="000000" w:themeColor="text1"/>
                <w:sz w:val="22"/>
              </w:rPr>
              <w:t xml:space="preserve">per rolling </w:t>
            </w:r>
            <w:r w:rsidRPr="000F7AD5">
              <w:rPr>
                <w:rFonts w:cs="Times New Roman"/>
                <w:color w:val="000000" w:themeColor="text1"/>
                <w:sz w:val="22"/>
              </w:rPr>
              <w:t>12</w:t>
            </w:r>
            <w:r w:rsidRPr="00712307">
              <w:rPr>
                <w:rFonts w:cs="Times New Roman"/>
                <w:color w:val="000000" w:themeColor="text1"/>
                <w:sz w:val="22"/>
              </w:rPr>
              <w:t>-month period</w:t>
            </w:r>
            <w:r w:rsidRPr="000F7AD5" w:rsidR="00CA1AAE">
              <w:rPr>
                <w:rFonts w:cs="Times New Roman"/>
                <w:color w:val="000000" w:themeColor="text1"/>
                <w:sz w:val="22"/>
              </w:rPr>
              <w:t xml:space="preserve"> </w:t>
            </w:r>
          </w:p>
        </w:tc>
        <w:tc>
          <w:tcPr>
            <w:tcW w:w="1584" w:type="dxa"/>
            <w:vAlign w:val="center"/>
          </w:tcPr>
          <w:p w:rsidRPr="000F7AD5" w:rsidR="00C86AFF" w:rsidP="00AF4187" w:rsidRDefault="00C86AFF" w14:paraId="20CF0683" w14:textId="3AF69C24">
            <w:pPr>
              <w:jc w:val="center"/>
              <w:rPr>
                <w:sz w:val="22"/>
                <w:szCs w:val="22"/>
              </w:rPr>
            </w:pPr>
            <w:r w:rsidRPr="000F7AD5">
              <w:rPr>
                <w:sz w:val="22"/>
                <w:szCs w:val="22"/>
              </w:rPr>
              <w:t>VOC</w:t>
            </w:r>
          </w:p>
        </w:tc>
        <w:tc>
          <w:tcPr>
            <w:tcW w:w="3456" w:type="dxa"/>
            <w:vAlign w:val="center"/>
          </w:tcPr>
          <w:p w:rsidRPr="000F7AD5" w:rsidR="00C86AFF" w:rsidP="00943073" w:rsidRDefault="004532A5" w14:paraId="46D084A6" w14:textId="404C970B">
            <w:pPr>
              <w:pStyle w:val="TableParagraph"/>
              <w:spacing w:line="269" w:lineRule="exact"/>
              <w:ind w:left="191" w:right="165"/>
              <w:jc w:val="center"/>
            </w:pPr>
            <w:r w:rsidRPr="000F7AD5">
              <w:sym w:font="Symbol" w:char="F0A3"/>
            </w:r>
            <w:r w:rsidRPr="000F7AD5" w:rsidR="00505E84">
              <w:t xml:space="preserve"> </w:t>
            </w:r>
            <w:r w:rsidRPr="000F7AD5" w:rsidR="00C86AFF">
              <w:t>1.25 tons per month</w:t>
            </w:r>
          </w:p>
          <w:p w:rsidRPr="000F7AD5" w:rsidR="004532A5" w:rsidP="00943073" w:rsidRDefault="004532A5" w14:paraId="539D780A" w14:textId="77777777">
            <w:pPr>
              <w:pStyle w:val="TableParagraph"/>
              <w:spacing w:line="269" w:lineRule="exact"/>
              <w:ind w:left="191" w:right="165"/>
              <w:jc w:val="center"/>
            </w:pPr>
          </w:p>
          <w:p w:rsidRPr="000F7AD5" w:rsidR="00943073" w:rsidP="00867DB8" w:rsidRDefault="00505E84" w14:paraId="41399C9E" w14:textId="6C64B2FE">
            <w:pPr>
              <w:jc w:val="center"/>
              <w:rPr>
                <w:sz w:val="22"/>
                <w:szCs w:val="22"/>
              </w:rPr>
            </w:pPr>
            <w:r w:rsidRPr="000F7AD5">
              <w:rPr>
                <w:sz w:val="22"/>
                <w:szCs w:val="22"/>
              </w:rPr>
              <w:sym w:font="Symbol" w:char="F0A3"/>
            </w:r>
            <w:r w:rsidRPr="000F7AD5">
              <w:rPr>
                <w:sz w:val="22"/>
                <w:szCs w:val="22"/>
              </w:rPr>
              <w:t xml:space="preserve"> </w:t>
            </w:r>
            <w:r w:rsidRPr="000F7AD5" w:rsidR="00C86AFF">
              <w:rPr>
                <w:sz w:val="22"/>
                <w:szCs w:val="22"/>
              </w:rPr>
              <w:t>5.98 tons per rolling 12-month period</w:t>
            </w:r>
          </w:p>
        </w:tc>
      </w:tr>
      <w:tr w:rsidRPr="000F7AD5" w:rsidR="00E71BDC" w:rsidTr="00AB7974" w14:paraId="231D56F1" w14:textId="77777777">
        <w:trPr>
          <w:cantSplit/>
          <w:trHeight w:val="1152"/>
          <w:jc w:val="center"/>
        </w:trPr>
        <w:tc>
          <w:tcPr>
            <w:tcW w:w="1165" w:type="dxa"/>
            <w:vMerge/>
            <w:vAlign w:val="center"/>
          </w:tcPr>
          <w:p w:rsidRPr="000F7AD5" w:rsidR="00E71BDC" w:rsidP="00163D28" w:rsidRDefault="00E71BDC" w14:paraId="16989F0C" w14:textId="77777777">
            <w:pPr>
              <w:jc w:val="center"/>
              <w:rPr>
                <w:sz w:val="22"/>
                <w:szCs w:val="22"/>
              </w:rPr>
            </w:pPr>
          </w:p>
        </w:tc>
        <w:tc>
          <w:tcPr>
            <w:tcW w:w="3690" w:type="dxa"/>
            <w:vMerge/>
            <w:vAlign w:val="center"/>
          </w:tcPr>
          <w:p w:rsidRPr="000F7AD5" w:rsidR="00E71BDC" w:rsidP="007E5523" w:rsidRDefault="00E71BDC" w14:paraId="781A41C8" w14:textId="77777777">
            <w:pPr>
              <w:ind w:left="456"/>
              <w:rPr>
                <w:color w:val="000000" w:themeColor="text1"/>
                <w:sz w:val="22"/>
                <w:szCs w:val="22"/>
              </w:rPr>
            </w:pPr>
          </w:p>
        </w:tc>
        <w:tc>
          <w:tcPr>
            <w:tcW w:w="1584" w:type="dxa"/>
            <w:vAlign w:val="center"/>
          </w:tcPr>
          <w:p w:rsidRPr="000F7AD5" w:rsidR="00E71BDC" w:rsidP="00AF4187" w:rsidRDefault="00E71BDC" w14:paraId="225A9F3A" w14:textId="546C4962">
            <w:pPr>
              <w:jc w:val="center"/>
              <w:rPr>
                <w:sz w:val="22"/>
                <w:szCs w:val="22"/>
              </w:rPr>
            </w:pPr>
            <w:r w:rsidRPr="000F7AD5">
              <w:rPr>
                <w:sz w:val="22"/>
                <w:szCs w:val="22"/>
              </w:rPr>
              <w:t>PM</w:t>
            </w:r>
            <w:r w:rsidRPr="009143D9" w:rsidR="009143D9">
              <w:rPr>
                <w:sz w:val="22"/>
                <w:szCs w:val="22"/>
                <w:vertAlign w:val="subscript"/>
              </w:rPr>
              <w:t>2.5</w:t>
            </w:r>
          </w:p>
        </w:tc>
        <w:tc>
          <w:tcPr>
            <w:tcW w:w="3456" w:type="dxa"/>
            <w:vAlign w:val="center"/>
          </w:tcPr>
          <w:p w:rsidRPr="000F7AD5" w:rsidR="00704712" w:rsidP="00943073" w:rsidRDefault="00505E84" w14:paraId="40998237" w14:textId="0BA7825C">
            <w:pPr>
              <w:pStyle w:val="TableParagraph"/>
              <w:spacing w:line="269" w:lineRule="exact"/>
              <w:ind w:left="191" w:right="165"/>
              <w:jc w:val="center"/>
            </w:pPr>
            <w:r w:rsidRPr="000F7AD5">
              <w:sym w:font="Symbol" w:char="F0A3"/>
            </w:r>
            <w:r w:rsidRPr="000F7AD5">
              <w:t xml:space="preserve"> </w:t>
            </w:r>
            <w:r w:rsidRPr="000F7AD5" w:rsidR="00704712">
              <w:t>1.25 tons per month</w:t>
            </w:r>
          </w:p>
          <w:p w:rsidRPr="000F7AD5" w:rsidR="00704712" w:rsidP="00943073" w:rsidRDefault="00704712" w14:paraId="5C255497" w14:textId="77777777">
            <w:pPr>
              <w:pStyle w:val="TableParagraph"/>
              <w:spacing w:line="269" w:lineRule="exact"/>
              <w:ind w:left="191" w:right="165"/>
              <w:jc w:val="center"/>
            </w:pPr>
          </w:p>
          <w:p w:rsidRPr="000F7AD5" w:rsidR="00E71BDC" w:rsidP="00943073" w:rsidRDefault="00505E84" w14:paraId="099B3A6E" w14:textId="6E33BBE6">
            <w:pPr>
              <w:pStyle w:val="TableParagraph"/>
              <w:spacing w:line="269" w:lineRule="exact"/>
              <w:ind w:left="191" w:right="165"/>
              <w:jc w:val="center"/>
            </w:pPr>
            <w:r w:rsidRPr="000F7AD5">
              <w:sym w:font="Symbol" w:char="F0A3"/>
            </w:r>
            <w:r w:rsidRPr="000F7AD5">
              <w:t xml:space="preserve"> </w:t>
            </w:r>
            <w:r w:rsidRPr="000F7AD5" w:rsidR="00704712">
              <w:t>5.98 tons per rolling 12-month period</w:t>
            </w:r>
          </w:p>
        </w:tc>
      </w:tr>
      <w:tr w:rsidRPr="000F7AD5" w:rsidR="00DD4385" w:rsidTr="00AB7974" w14:paraId="5B679993" w14:textId="77777777">
        <w:trPr>
          <w:cantSplit/>
          <w:trHeight w:val="1440"/>
          <w:jc w:val="center"/>
        </w:trPr>
        <w:tc>
          <w:tcPr>
            <w:tcW w:w="1165" w:type="dxa"/>
            <w:vAlign w:val="center"/>
          </w:tcPr>
          <w:p w:rsidRPr="000F7AD5" w:rsidR="00DD4385" w:rsidP="00163D28" w:rsidRDefault="005A29D4" w14:paraId="043A0EF1" w14:textId="70C5D9B0">
            <w:pPr>
              <w:jc w:val="center"/>
              <w:rPr>
                <w:sz w:val="22"/>
                <w:szCs w:val="22"/>
              </w:rPr>
            </w:pPr>
            <w:r w:rsidRPr="000F7AD5">
              <w:rPr>
                <w:sz w:val="22"/>
                <w:szCs w:val="22"/>
              </w:rPr>
              <w:t>EU28</w:t>
            </w:r>
          </w:p>
        </w:tc>
        <w:tc>
          <w:tcPr>
            <w:tcW w:w="3690" w:type="dxa"/>
            <w:vAlign w:val="center"/>
          </w:tcPr>
          <w:p w:rsidRPr="000F7AD5" w:rsidR="00377CF8" w:rsidP="006345E9" w:rsidRDefault="00F24116" w14:paraId="737841E3" w14:textId="54446F77">
            <w:pPr>
              <w:pStyle w:val="ListParagraph"/>
              <w:ind w:left="456"/>
              <w:rPr>
                <w:rFonts w:cs="Times New Roman"/>
                <w:color w:val="000000" w:themeColor="text1"/>
                <w:sz w:val="22"/>
              </w:rPr>
            </w:pPr>
            <w:r w:rsidRPr="000F7AD5">
              <w:rPr>
                <w:rFonts w:cs="Times New Roman"/>
                <w:color w:val="000000" w:themeColor="text1"/>
                <w:sz w:val="22"/>
              </w:rPr>
              <w:t>1200</w:t>
            </w:r>
            <w:r w:rsidRPr="000F7AD5" w:rsidR="00AC1DD3">
              <w:rPr>
                <w:rFonts w:cs="Times New Roman"/>
                <w:color w:val="000000" w:themeColor="text1"/>
                <w:sz w:val="22"/>
              </w:rPr>
              <w:t xml:space="preserve"> liters</w:t>
            </w:r>
            <w:r w:rsidRPr="000F7AD5" w:rsidR="004970E9">
              <w:rPr>
                <w:rFonts w:cs="Times New Roman"/>
                <w:color w:val="000000" w:themeColor="text1"/>
                <w:sz w:val="22"/>
              </w:rPr>
              <w:t xml:space="preserve"> of isopropanol</w:t>
            </w:r>
          </w:p>
          <w:p w:rsidRPr="000F7AD5" w:rsidR="00DD4385" w:rsidP="007E5523" w:rsidRDefault="00DF2AEC" w14:paraId="425BE813" w14:textId="1809D769">
            <w:pPr>
              <w:pStyle w:val="ListParagraph"/>
              <w:ind w:left="456"/>
              <w:rPr>
                <w:rFonts w:cs="Times New Roman"/>
                <w:sz w:val="22"/>
              </w:rPr>
            </w:pPr>
            <w:r w:rsidRPr="00DF2AEC">
              <w:rPr>
                <w:rFonts w:cs="Times New Roman"/>
                <w:color w:val="000000" w:themeColor="text1"/>
                <w:sz w:val="22"/>
              </w:rPr>
              <w:t xml:space="preserve">per rolling </w:t>
            </w:r>
            <w:r w:rsidRPr="000F7AD5" w:rsidR="00984A30">
              <w:rPr>
                <w:rFonts w:cs="Times New Roman"/>
                <w:color w:val="000000" w:themeColor="text1"/>
                <w:sz w:val="22"/>
              </w:rPr>
              <w:t>12</w:t>
            </w:r>
            <w:r w:rsidRPr="000F7AD5" w:rsidR="00426FB4">
              <w:rPr>
                <w:rFonts w:cs="Times New Roman"/>
                <w:color w:val="000000" w:themeColor="text1"/>
                <w:sz w:val="22"/>
              </w:rPr>
              <w:t>-</w:t>
            </w:r>
            <w:r w:rsidRPr="000F7AD5" w:rsidR="00377CF8">
              <w:rPr>
                <w:rFonts w:cs="Times New Roman"/>
                <w:color w:val="000000" w:themeColor="text1"/>
                <w:sz w:val="22"/>
              </w:rPr>
              <w:t>month</w:t>
            </w:r>
            <w:r w:rsidRPr="000F7AD5" w:rsidR="00984A30">
              <w:rPr>
                <w:rFonts w:cs="Times New Roman"/>
                <w:color w:val="000000" w:themeColor="text1"/>
                <w:sz w:val="22"/>
              </w:rPr>
              <w:t xml:space="preserve"> period</w:t>
            </w:r>
          </w:p>
        </w:tc>
        <w:tc>
          <w:tcPr>
            <w:tcW w:w="1584" w:type="dxa"/>
            <w:vAlign w:val="center"/>
          </w:tcPr>
          <w:p w:rsidRPr="000F7AD5" w:rsidR="00DD4385" w:rsidP="00AF4187" w:rsidRDefault="00964B70" w14:paraId="5AE30767" w14:textId="13D09F03">
            <w:pPr>
              <w:jc w:val="center"/>
              <w:rPr>
                <w:sz w:val="22"/>
                <w:szCs w:val="22"/>
              </w:rPr>
            </w:pPr>
            <w:r w:rsidRPr="000F7AD5">
              <w:rPr>
                <w:sz w:val="22"/>
                <w:szCs w:val="22"/>
              </w:rPr>
              <w:t>VOC</w:t>
            </w:r>
          </w:p>
        </w:tc>
        <w:tc>
          <w:tcPr>
            <w:tcW w:w="3456" w:type="dxa"/>
            <w:vAlign w:val="center"/>
          </w:tcPr>
          <w:p w:rsidRPr="000F7AD5" w:rsidR="00D67F98" w:rsidP="00943073" w:rsidRDefault="00505E84" w14:paraId="7AA4C05C" w14:textId="77A65452">
            <w:pPr>
              <w:jc w:val="center"/>
              <w:rPr>
                <w:sz w:val="22"/>
                <w:szCs w:val="22"/>
              </w:rPr>
            </w:pPr>
            <w:r w:rsidRPr="000F7AD5">
              <w:rPr>
                <w:sz w:val="22"/>
                <w:szCs w:val="22"/>
              </w:rPr>
              <w:sym w:font="Symbol" w:char="F0A3"/>
            </w:r>
            <w:r w:rsidRPr="000F7AD5">
              <w:rPr>
                <w:sz w:val="22"/>
                <w:szCs w:val="22"/>
              </w:rPr>
              <w:t xml:space="preserve"> </w:t>
            </w:r>
            <w:r w:rsidRPr="000F7AD5" w:rsidR="00D67F98">
              <w:rPr>
                <w:sz w:val="22"/>
                <w:szCs w:val="22"/>
              </w:rPr>
              <w:t>0.26 tons per month</w:t>
            </w:r>
          </w:p>
          <w:p w:rsidRPr="000F7AD5" w:rsidR="00D67F98" w:rsidP="00943073" w:rsidRDefault="00D67F98" w14:paraId="1D748AFA" w14:textId="77777777">
            <w:pPr>
              <w:jc w:val="center"/>
              <w:rPr>
                <w:sz w:val="22"/>
                <w:szCs w:val="22"/>
              </w:rPr>
            </w:pPr>
          </w:p>
          <w:p w:rsidRPr="000F7AD5" w:rsidR="00DD4385" w:rsidP="00943073" w:rsidRDefault="00505E84" w14:paraId="529FE6D7" w14:textId="51BC49AF">
            <w:pPr>
              <w:jc w:val="center"/>
              <w:rPr>
                <w:sz w:val="22"/>
                <w:szCs w:val="22"/>
              </w:rPr>
            </w:pPr>
            <w:r w:rsidRPr="000F7AD5">
              <w:rPr>
                <w:sz w:val="22"/>
                <w:szCs w:val="22"/>
              </w:rPr>
              <w:sym w:font="Symbol" w:char="F0A3"/>
            </w:r>
            <w:r w:rsidRPr="000F7AD5">
              <w:rPr>
                <w:sz w:val="22"/>
                <w:szCs w:val="22"/>
              </w:rPr>
              <w:t xml:space="preserve"> </w:t>
            </w:r>
            <w:r w:rsidRPr="000F7AD5" w:rsidR="00D67F98">
              <w:rPr>
                <w:sz w:val="22"/>
                <w:szCs w:val="22"/>
              </w:rPr>
              <w:t>1.04 tons per rolling 12-month period</w:t>
            </w:r>
          </w:p>
        </w:tc>
      </w:tr>
      <w:tr w:rsidRPr="000F7AD5" w:rsidR="007E5523" w:rsidTr="00AB7974" w14:paraId="37DF687D" w14:textId="77777777">
        <w:trPr>
          <w:cantSplit/>
          <w:trHeight w:val="1008"/>
          <w:jc w:val="center"/>
        </w:trPr>
        <w:tc>
          <w:tcPr>
            <w:tcW w:w="1165" w:type="dxa"/>
            <w:vMerge w:val="restart"/>
            <w:vAlign w:val="center"/>
          </w:tcPr>
          <w:p w:rsidRPr="000F7AD5" w:rsidR="007E5523" w:rsidP="00163D28" w:rsidRDefault="007E5523" w14:paraId="454560CC" w14:textId="734B1F23">
            <w:pPr>
              <w:jc w:val="center"/>
              <w:rPr>
                <w:sz w:val="22"/>
                <w:szCs w:val="22"/>
              </w:rPr>
            </w:pPr>
            <w:r w:rsidRPr="000F7AD5">
              <w:rPr>
                <w:sz w:val="22"/>
                <w:szCs w:val="22"/>
              </w:rPr>
              <w:t>EU29</w:t>
            </w:r>
          </w:p>
        </w:tc>
        <w:tc>
          <w:tcPr>
            <w:tcW w:w="3690" w:type="dxa"/>
            <w:vMerge w:val="restart"/>
            <w:vAlign w:val="center"/>
          </w:tcPr>
          <w:p w:rsidRPr="000F7AD5" w:rsidR="007E5523" w:rsidP="006345E9" w:rsidRDefault="007E5523" w14:paraId="119F553E" w14:textId="0770858E">
            <w:pPr>
              <w:pStyle w:val="ListParagraph"/>
              <w:ind w:left="456"/>
              <w:rPr>
                <w:rFonts w:cs="Times New Roman"/>
                <w:sz w:val="22"/>
              </w:rPr>
            </w:pPr>
            <w:r w:rsidRPr="000F7AD5">
              <w:rPr>
                <w:rFonts w:cs="Times New Roman"/>
                <w:sz w:val="22"/>
              </w:rPr>
              <w:t>NA</w:t>
            </w:r>
          </w:p>
        </w:tc>
        <w:tc>
          <w:tcPr>
            <w:tcW w:w="1584" w:type="dxa"/>
            <w:vAlign w:val="center"/>
          </w:tcPr>
          <w:p w:rsidRPr="000F7AD5" w:rsidR="007E5523" w:rsidP="00AF4187" w:rsidRDefault="007E5523" w14:paraId="2895EAEA" w14:textId="59579604">
            <w:pPr>
              <w:jc w:val="center"/>
              <w:rPr>
                <w:sz w:val="22"/>
                <w:szCs w:val="22"/>
              </w:rPr>
            </w:pPr>
            <w:r w:rsidRPr="000F7AD5">
              <w:rPr>
                <w:sz w:val="22"/>
                <w:szCs w:val="22"/>
              </w:rPr>
              <w:t>VOC</w:t>
            </w:r>
          </w:p>
        </w:tc>
        <w:tc>
          <w:tcPr>
            <w:tcW w:w="3456" w:type="dxa"/>
            <w:vAlign w:val="center"/>
          </w:tcPr>
          <w:p w:rsidRPr="000F7AD5" w:rsidR="007E5523" w:rsidP="00943073" w:rsidRDefault="00601A49" w14:paraId="5D2EEFDD" w14:textId="599EA740">
            <w:pPr>
              <w:jc w:val="center"/>
              <w:rPr>
                <w:sz w:val="22"/>
                <w:szCs w:val="22"/>
              </w:rPr>
            </w:pPr>
            <w:r w:rsidRPr="000F7AD5">
              <w:rPr>
                <w:sz w:val="22"/>
                <w:szCs w:val="22"/>
              </w:rPr>
              <w:sym w:font="Symbol" w:char="F0A3"/>
            </w:r>
            <w:r w:rsidRPr="000F7AD5">
              <w:rPr>
                <w:sz w:val="22"/>
                <w:szCs w:val="22"/>
              </w:rPr>
              <w:t xml:space="preserve"> </w:t>
            </w:r>
            <w:r w:rsidRPr="000F7AD5" w:rsidR="007E5523">
              <w:rPr>
                <w:sz w:val="22"/>
                <w:szCs w:val="22"/>
              </w:rPr>
              <w:t>0.15 tons per month</w:t>
            </w:r>
          </w:p>
          <w:p w:rsidRPr="000F7AD5" w:rsidR="007E5523" w:rsidP="00943073" w:rsidRDefault="007E5523" w14:paraId="6CB4DF6D" w14:textId="77777777">
            <w:pPr>
              <w:jc w:val="center"/>
              <w:rPr>
                <w:sz w:val="22"/>
                <w:szCs w:val="22"/>
              </w:rPr>
            </w:pPr>
          </w:p>
          <w:p w:rsidRPr="000F7AD5" w:rsidR="007E5523" w:rsidP="00943073" w:rsidRDefault="00601A49" w14:paraId="1A61E01D" w14:textId="3F63A467">
            <w:pPr>
              <w:jc w:val="center"/>
              <w:rPr>
                <w:sz w:val="22"/>
                <w:szCs w:val="22"/>
              </w:rPr>
            </w:pPr>
            <w:r w:rsidRPr="000F7AD5">
              <w:rPr>
                <w:sz w:val="22"/>
                <w:szCs w:val="22"/>
              </w:rPr>
              <w:sym w:font="Symbol" w:char="F0A3"/>
            </w:r>
            <w:r w:rsidRPr="000F7AD5">
              <w:rPr>
                <w:sz w:val="22"/>
                <w:szCs w:val="22"/>
              </w:rPr>
              <w:t xml:space="preserve"> </w:t>
            </w:r>
            <w:r w:rsidRPr="000F7AD5" w:rsidR="007E5523">
              <w:rPr>
                <w:sz w:val="22"/>
                <w:szCs w:val="22"/>
              </w:rPr>
              <w:t>0.60 tons per rolling 12-month period</w:t>
            </w:r>
          </w:p>
        </w:tc>
      </w:tr>
      <w:tr w:rsidRPr="000F7AD5" w:rsidR="007E5523" w:rsidTr="00AB7974" w14:paraId="5E885564" w14:textId="77777777">
        <w:trPr>
          <w:cantSplit/>
          <w:trHeight w:val="1152"/>
          <w:jc w:val="center"/>
        </w:trPr>
        <w:tc>
          <w:tcPr>
            <w:tcW w:w="1165" w:type="dxa"/>
            <w:vMerge/>
            <w:vAlign w:val="center"/>
          </w:tcPr>
          <w:p w:rsidRPr="000F7AD5" w:rsidR="007E5523" w:rsidP="00163D28" w:rsidRDefault="007E5523" w14:paraId="7C2401C0" w14:textId="77777777">
            <w:pPr>
              <w:jc w:val="center"/>
              <w:rPr>
                <w:sz w:val="22"/>
                <w:szCs w:val="22"/>
              </w:rPr>
            </w:pPr>
          </w:p>
        </w:tc>
        <w:tc>
          <w:tcPr>
            <w:tcW w:w="3690" w:type="dxa"/>
            <w:vMerge/>
          </w:tcPr>
          <w:p w:rsidRPr="000F7AD5" w:rsidR="007E5523" w:rsidP="00DD4385" w:rsidRDefault="007E5523" w14:paraId="0C642594" w14:textId="77777777">
            <w:pPr>
              <w:ind w:left="839"/>
              <w:rPr>
                <w:sz w:val="22"/>
                <w:szCs w:val="22"/>
              </w:rPr>
            </w:pPr>
          </w:p>
        </w:tc>
        <w:tc>
          <w:tcPr>
            <w:tcW w:w="1584" w:type="dxa"/>
            <w:vAlign w:val="center"/>
          </w:tcPr>
          <w:p w:rsidRPr="000F7AD5" w:rsidR="007E5523" w:rsidP="00AF4187" w:rsidRDefault="007E5523" w14:paraId="790257EF" w14:textId="3D8EC11F">
            <w:pPr>
              <w:jc w:val="center"/>
              <w:rPr>
                <w:sz w:val="22"/>
                <w:szCs w:val="22"/>
              </w:rPr>
            </w:pPr>
            <w:r w:rsidRPr="000F7AD5">
              <w:rPr>
                <w:sz w:val="22"/>
                <w:szCs w:val="22"/>
              </w:rPr>
              <w:t>PM</w:t>
            </w:r>
            <w:r w:rsidRPr="00DA460A" w:rsidR="00DA460A">
              <w:rPr>
                <w:sz w:val="22"/>
                <w:szCs w:val="22"/>
                <w:vertAlign w:val="subscript"/>
              </w:rPr>
              <w:t>2.5</w:t>
            </w:r>
          </w:p>
        </w:tc>
        <w:tc>
          <w:tcPr>
            <w:tcW w:w="3456" w:type="dxa"/>
            <w:vAlign w:val="center"/>
          </w:tcPr>
          <w:p w:rsidRPr="000F7AD5" w:rsidR="007E5523" w:rsidP="00943073" w:rsidRDefault="00601A49" w14:paraId="1C98741D" w14:textId="4A28D3F2">
            <w:pPr>
              <w:jc w:val="center"/>
              <w:rPr>
                <w:sz w:val="22"/>
                <w:szCs w:val="22"/>
              </w:rPr>
            </w:pPr>
            <w:r w:rsidRPr="000F7AD5">
              <w:rPr>
                <w:sz w:val="22"/>
                <w:szCs w:val="22"/>
              </w:rPr>
              <w:sym w:font="Symbol" w:char="F0A3"/>
            </w:r>
            <w:r w:rsidRPr="000F7AD5">
              <w:rPr>
                <w:sz w:val="22"/>
                <w:szCs w:val="22"/>
              </w:rPr>
              <w:t xml:space="preserve"> </w:t>
            </w:r>
            <w:r w:rsidRPr="000F7AD5" w:rsidR="007E5523">
              <w:rPr>
                <w:sz w:val="22"/>
                <w:szCs w:val="22"/>
              </w:rPr>
              <w:t>0.29 tons per month</w:t>
            </w:r>
          </w:p>
          <w:p w:rsidRPr="000F7AD5" w:rsidR="007E5523" w:rsidP="00943073" w:rsidRDefault="007E5523" w14:paraId="1FAB3B1A" w14:textId="77777777">
            <w:pPr>
              <w:jc w:val="center"/>
              <w:rPr>
                <w:sz w:val="22"/>
                <w:szCs w:val="22"/>
              </w:rPr>
            </w:pPr>
          </w:p>
          <w:p w:rsidRPr="000F7AD5" w:rsidR="007E5523" w:rsidP="00DF31C9" w:rsidRDefault="00601A49" w14:paraId="69F45C5D" w14:textId="6CA6D77C">
            <w:pPr>
              <w:jc w:val="center"/>
              <w:rPr>
                <w:sz w:val="22"/>
                <w:szCs w:val="22"/>
              </w:rPr>
            </w:pPr>
            <w:r w:rsidRPr="000F7AD5">
              <w:rPr>
                <w:sz w:val="22"/>
                <w:szCs w:val="22"/>
              </w:rPr>
              <w:sym w:font="Symbol" w:char="F0A3"/>
            </w:r>
            <w:r w:rsidRPr="000F7AD5">
              <w:rPr>
                <w:sz w:val="22"/>
                <w:szCs w:val="22"/>
              </w:rPr>
              <w:t xml:space="preserve"> </w:t>
            </w:r>
            <w:r w:rsidRPr="000F7AD5" w:rsidR="007E5523">
              <w:rPr>
                <w:sz w:val="22"/>
                <w:szCs w:val="22"/>
              </w:rPr>
              <w:t>1.12 tons per rolling 12-month period</w:t>
            </w:r>
          </w:p>
        </w:tc>
      </w:tr>
      <w:tr w:rsidRPr="000F7AD5" w:rsidR="002C3DFB" w:rsidTr="00AB7974" w14:paraId="7A7CFE9A" w14:textId="77777777">
        <w:trPr>
          <w:cantSplit/>
          <w:trHeight w:val="1152"/>
          <w:jc w:val="center"/>
        </w:trPr>
        <w:tc>
          <w:tcPr>
            <w:tcW w:w="1165" w:type="dxa"/>
            <w:vMerge w:val="restart"/>
            <w:vAlign w:val="center"/>
          </w:tcPr>
          <w:p w:rsidRPr="009669D1" w:rsidR="002C3DFB" w:rsidP="002C3DFB" w:rsidRDefault="002C3DFB" w14:paraId="1AC7F544" w14:textId="2A49EA3B">
            <w:pPr>
              <w:jc w:val="center"/>
              <w:rPr>
                <w:sz w:val="22"/>
                <w:szCs w:val="22"/>
              </w:rPr>
            </w:pPr>
            <w:r w:rsidRPr="009669D1">
              <w:rPr>
                <w:sz w:val="22"/>
                <w:szCs w:val="22"/>
              </w:rPr>
              <w:t>Industrial Cleaning Solvents</w:t>
            </w:r>
          </w:p>
        </w:tc>
        <w:tc>
          <w:tcPr>
            <w:tcW w:w="3690" w:type="dxa"/>
            <w:vMerge w:val="restart"/>
            <w:vAlign w:val="center"/>
          </w:tcPr>
          <w:p w:rsidRPr="009669D1" w:rsidR="002C3DFB" w:rsidP="002C3DFB" w:rsidRDefault="002C3DFB" w14:paraId="0418E2A3" w14:textId="15C36BD7">
            <w:pPr>
              <w:ind w:left="466"/>
              <w:rPr>
                <w:sz w:val="22"/>
                <w:szCs w:val="22"/>
              </w:rPr>
            </w:pPr>
            <w:r w:rsidRPr="009669D1">
              <w:rPr>
                <w:sz w:val="22"/>
                <w:szCs w:val="22"/>
              </w:rPr>
              <w:t>Actual usage of VOC containing cleaning solvents will result in less than 2.9 tons VOC emissions per 12-month rolling period</w:t>
            </w:r>
          </w:p>
        </w:tc>
        <w:tc>
          <w:tcPr>
            <w:tcW w:w="1584" w:type="dxa"/>
            <w:vAlign w:val="center"/>
          </w:tcPr>
          <w:p w:rsidRPr="009669D1" w:rsidR="002C3DFB" w:rsidP="002C3DFB" w:rsidRDefault="002C3DFB" w14:paraId="49BB2BC8" w14:textId="050CD24E">
            <w:pPr>
              <w:jc w:val="center"/>
              <w:rPr>
                <w:sz w:val="22"/>
                <w:szCs w:val="22"/>
              </w:rPr>
            </w:pPr>
            <w:r w:rsidRPr="009669D1">
              <w:rPr>
                <w:sz w:val="22"/>
                <w:szCs w:val="22"/>
              </w:rPr>
              <w:t>VOC</w:t>
            </w:r>
          </w:p>
        </w:tc>
        <w:tc>
          <w:tcPr>
            <w:tcW w:w="3456" w:type="dxa"/>
            <w:vAlign w:val="center"/>
          </w:tcPr>
          <w:p w:rsidRPr="009669D1" w:rsidR="00A53826" w:rsidP="009669D1" w:rsidRDefault="006776F0" w14:paraId="2BA68824" w14:textId="3DD115F9">
            <w:pPr>
              <w:tabs>
                <w:tab w:val="left" w:pos="-720"/>
              </w:tabs>
              <w:suppressAutoHyphens/>
              <w:jc w:val="center"/>
              <w:rPr>
                <w:sz w:val="22"/>
                <w:szCs w:val="22"/>
              </w:rPr>
            </w:pPr>
            <w:r w:rsidRPr="009669D1">
              <w:rPr>
                <w:sz w:val="22"/>
                <w:szCs w:val="22"/>
              </w:rPr>
              <w:t xml:space="preserve">1.0 </w:t>
            </w:r>
            <w:r w:rsidRPr="00AB7974" w:rsidR="00AB7974">
              <w:rPr>
                <w:sz w:val="22"/>
                <w:szCs w:val="22"/>
              </w:rPr>
              <w:t>ton per month</w:t>
            </w:r>
          </w:p>
          <w:p w:rsidRPr="009669D1" w:rsidR="00A53826" w:rsidP="009669D1" w:rsidRDefault="00A53826" w14:paraId="5167AE01" w14:textId="77777777">
            <w:pPr>
              <w:tabs>
                <w:tab w:val="left" w:pos="-720"/>
              </w:tabs>
              <w:suppressAutoHyphens/>
              <w:jc w:val="center"/>
              <w:rPr>
                <w:sz w:val="22"/>
                <w:szCs w:val="22"/>
              </w:rPr>
            </w:pPr>
          </w:p>
          <w:p w:rsidR="00AB7974" w:rsidP="009669D1" w:rsidRDefault="006776F0" w14:paraId="62A65430" w14:textId="77777777">
            <w:pPr>
              <w:tabs>
                <w:tab w:val="left" w:pos="-720"/>
              </w:tabs>
              <w:suppressAutoHyphens/>
              <w:jc w:val="center"/>
              <w:rPr>
                <w:sz w:val="22"/>
                <w:szCs w:val="22"/>
              </w:rPr>
            </w:pPr>
            <w:r w:rsidRPr="009669D1">
              <w:rPr>
                <w:sz w:val="22"/>
                <w:szCs w:val="22"/>
              </w:rPr>
              <w:t xml:space="preserve">2.9 </w:t>
            </w:r>
            <w:r w:rsidRPr="00AB7974" w:rsidR="00AB7974">
              <w:rPr>
                <w:sz w:val="22"/>
                <w:szCs w:val="22"/>
              </w:rPr>
              <w:t>tons per rolling 12-month</w:t>
            </w:r>
          </w:p>
          <w:p w:rsidRPr="009669D1" w:rsidR="002C3DFB" w:rsidP="009669D1" w:rsidRDefault="00AB7974" w14:paraId="2C8B63B6" w14:textId="0D53CB2E">
            <w:pPr>
              <w:tabs>
                <w:tab w:val="left" w:pos="-720"/>
              </w:tabs>
              <w:suppressAutoHyphens/>
              <w:jc w:val="center"/>
              <w:rPr>
                <w:sz w:val="22"/>
                <w:szCs w:val="22"/>
              </w:rPr>
            </w:pPr>
            <w:r w:rsidRPr="00AB7974">
              <w:rPr>
                <w:sz w:val="22"/>
                <w:szCs w:val="22"/>
              </w:rPr>
              <w:t xml:space="preserve"> period</w:t>
            </w:r>
          </w:p>
        </w:tc>
      </w:tr>
      <w:tr w:rsidRPr="000F7AD5" w:rsidR="002C3DFB" w:rsidTr="00AB7974" w14:paraId="6A70FAD0" w14:textId="77777777">
        <w:trPr>
          <w:cantSplit/>
          <w:trHeight w:val="1152"/>
          <w:jc w:val="center"/>
        </w:trPr>
        <w:tc>
          <w:tcPr>
            <w:tcW w:w="1165" w:type="dxa"/>
            <w:vMerge/>
            <w:vAlign w:val="center"/>
          </w:tcPr>
          <w:p w:rsidRPr="009669D1" w:rsidR="002C3DFB" w:rsidP="002C3DFB" w:rsidRDefault="002C3DFB" w14:paraId="5A32197E" w14:textId="77777777">
            <w:pPr>
              <w:jc w:val="center"/>
              <w:rPr>
                <w:sz w:val="22"/>
                <w:szCs w:val="22"/>
              </w:rPr>
            </w:pPr>
          </w:p>
        </w:tc>
        <w:tc>
          <w:tcPr>
            <w:tcW w:w="3690" w:type="dxa"/>
            <w:vMerge/>
          </w:tcPr>
          <w:p w:rsidRPr="009669D1" w:rsidR="002C3DFB" w:rsidP="00DD4385" w:rsidRDefault="002C3DFB" w14:paraId="4F08EFB5" w14:textId="77777777">
            <w:pPr>
              <w:ind w:left="839"/>
              <w:rPr>
                <w:sz w:val="22"/>
                <w:szCs w:val="22"/>
              </w:rPr>
            </w:pPr>
          </w:p>
        </w:tc>
        <w:tc>
          <w:tcPr>
            <w:tcW w:w="1584" w:type="dxa"/>
            <w:vAlign w:val="center"/>
          </w:tcPr>
          <w:p w:rsidRPr="009669D1" w:rsidR="002C3DFB" w:rsidP="002C3DFB" w:rsidRDefault="00A53826" w14:paraId="24E0D30A" w14:textId="4B1641CC">
            <w:pPr>
              <w:jc w:val="center"/>
              <w:rPr>
                <w:sz w:val="22"/>
                <w:szCs w:val="22"/>
              </w:rPr>
            </w:pPr>
            <w:r w:rsidRPr="009669D1">
              <w:rPr>
                <w:sz w:val="22"/>
                <w:szCs w:val="22"/>
              </w:rPr>
              <w:t>Total HAPs</w:t>
            </w:r>
          </w:p>
        </w:tc>
        <w:tc>
          <w:tcPr>
            <w:tcW w:w="3456" w:type="dxa"/>
            <w:vAlign w:val="center"/>
          </w:tcPr>
          <w:p w:rsidRPr="009669D1" w:rsidR="009669D1" w:rsidP="009669D1" w:rsidRDefault="00AB7974" w14:paraId="1DA72C63" w14:textId="7A8C4A12">
            <w:pPr>
              <w:tabs>
                <w:tab w:val="left" w:pos="-720"/>
              </w:tabs>
              <w:suppressAutoHyphens/>
              <w:jc w:val="center"/>
              <w:rPr>
                <w:sz w:val="22"/>
                <w:szCs w:val="22"/>
              </w:rPr>
            </w:pPr>
            <w:r>
              <w:rPr>
                <w:sz w:val="22"/>
                <w:szCs w:val="22"/>
              </w:rPr>
              <w:t xml:space="preserve">1.0 </w:t>
            </w:r>
            <w:r w:rsidRPr="00AB7974">
              <w:rPr>
                <w:sz w:val="22"/>
                <w:szCs w:val="22"/>
              </w:rPr>
              <w:t>ton per month</w:t>
            </w:r>
          </w:p>
          <w:p w:rsidRPr="009669D1" w:rsidR="009669D1" w:rsidP="009669D1" w:rsidRDefault="009669D1" w14:paraId="12127326" w14:textId="77777777">
            <w:pPr>
              <w:tabs>
                <w:tab w:val="left" w:pos="-720"/>
              </w:tabs>
              <w:suppressAutoHyphens/>
              <w:jc w:val="center"/>
              <w:rPr>
                <w:sz w:val="22"/>
                <w:szCs w:val="22"/>
              </w:rPr>
            </w:pPr>
          </w:p>
          <w:p w:rsidR="00AB7974" w:rsidP="009669D1" w:rsidRDefault="007C126A" w14:paraId="4BE16D3C" w14:textId="77777777">
            <w:pPr>
              <w:tabs>
                <w:tab w:val="left" w:pos="-720"/>
              </w:tabs>
              <w:suppressAutoHyphens/>
              <w:jc w:val="center"/>
              <w:rPr>
                <w:sz w:val="22"/>
                <w:szCs w:val="22"/>
              </w:rPr>
            </w:pPr>
            <w:r w:rsidRPr="009669D1">
              <w:rPr>
                <w:sz w:val="22"/>
                <w:szCs w:val="22"/>
              </w:rPr>
              <w:t xml:space="preserve">2.9 </w:t>
            </w:r>
            <w:r w:rsidRPr="00AB7974" w:rsidR="00AB7974">
              <w:rPr>
                <w:sz w:val="22"/>
                <w:szCs w:val="22"/>
              </w:rPr>
              <w:t>tons per rolling 12-month</w:t>
            </w:r>
          </w:p>
          <w:p w:rsidRPr="009669D1" w:rsidR="002C3DFB" w:rsidP="009669D1" w:rsidRDefault="00AB7974" w14:paraId="600CE9C4" w14:textId="5AFD8B9A">
            <w:pPr>
              <w:tabs>
                <w:tab w:val="left" w:pos="-720"/>
              </w:tabs>
              <w:suppressAutoHyphens/>
              <w:jc w:val="center"/>
              <w:rPr>
                <w:sz w:val="22"/>
                <w:szCs w:val="22"/>
              </w:rPr>
            </w:pPr>
            <w:r w:rsidRPr="00AB7974">
              <w:rPr>
                <w:sz w:val="22"/>
                <w:szCs w:val="22"/>
              </w:rPr>
              <w:t xml:space="preserve"> period</w:t>
            </w:r>
          </w:p>
        </w:tc>
      </w:tr>
      <w:tr w:rsidRPr="000F7AD5" w:rsidR="007E5523" w:rsidTr="00564F67" w14:paraId="6A626FE6" w14:textId="77777777">
        <w:trPr>
          <w:cantSplit/>
          <w:trHeight w:val="576"/>
          <w:jc w:val="center"/>
        </w:trPr>
        <w:tc>
          <w:tcPr>
            <w:tcW w:w="1165" w:type="dxa"/>
            <w:vMerge w:val="restart"/>
            <w:vAlign w:val="center"/>
          </w:tcPr>
          <w:p w:rsidRPr="000F7AD5" w:rsidR="007E5523" w:rsidP="00564F67" w:rsidRDefault="007E5523" w14:paraId="09656C05" w14:textId="1876A095">
            <w:pPr>
              <w:jc w:val="center"/>
              <w:rPr>
                <w:sz w:val="22"/>
                <w:szCs w:val="22"/>
              </w:rPr>
            </w:pPr>
            <w:r w:rsidRPr="000F7AD5">
              <w:rPr>
                <w:sz w:val="22"/>
                <w:szCs w:val="22"/>
              </w:rPr>
              <w:t>Facility-wide</w:t>
            </w:r>
          </w:p>
        </w:tc>
        <w:tc>
          <w:tcPr>
            <w:tcW w:w="3690" w:type="dxa"/>
            <w:vMerge w:val="restart"/>
            <w:vAlign w:val="center"/>
          </w:tcPr>
          <w:p w:rsidRPr="00C45C58" w:rsidR="007E5523" w:rsidP="006345E9" w:rsidRDefault="007E5523" w14:paraId="12EDBB0F" w14:textId="2343CDBC">
            <w:pPr>
              <w:pStyle w:val="ListParagraph"/>
              <w:ind w:left="466"/>
              <w:rPr>
                <w:sz w:val="22"/>
              </w:rPr>
            </w:pPr>
            <w:r w:rsidRPr="00C45C58">
              <w:rPr>
                <w:sz w:val="22"/>
              </w:rPr>
              <w:t>NA</w:t>
            </w:r>
          </w:p>
        </w:tc>
        <w:tc>
          <w:tcPr>
            <w:tcW w:w="1584" w:type="dxa"/>
            <w:vAlign w:val="center"/>
          </w:tcPr>
          <w:p w:rsidRPr="000F7AD5" w:rsidR="007E5523" w:rsidP="002C3DFB" w:rsidRDefault="007E5523" w14:paraId="452DED9D" w14:textId="410475E7">
            <w:pPr>
              <w:jc w:val="center"/>
              <w:rPr>
                <w:sz w:val="22"/>
                <w:szCs w:val="22"/>
              </w:rPr>
            </w:pPr>
            <w:r w:rsidRPr="000F7AD5">
              <w:rPr>
                <w:sz w:val="22"/>
                <w:szCs w:val="22"/>
              </w:rPr>
              <w:t>VOC</w:t>
            </w:r>
          </w:p>
        </w:tc>
        <w:tc>
          <w:tcPr>
            <w:tcW w:w="3456" w:type="dxa"/>
            <w:tcBorders>
              <w:top w:val="single" w:color="auto" w:sz="4" w:space="0"/>
            </w:tcBorders>
            <w:shd w:val="clear" w:color="auto" w:fill="FFFFFF" w:themeFill="background1"/>
            <w:vAlign w:val="center"/>
          </w:tcPr>
          <w:p w:rsidRPr="000F7AD5" w:rsidR="007E5523" w:rsidP="009669D1" w:rsidRDefault="007E5523" w14:paraId="4085B1D8" w14:textId="74BCD07F">
            <w:pPr>
              <w:tabs>
                <w:tab w:val="left" w:pos="-720"/>
              </w:tabs>
              <w:suppressAutoHyphens/>
              <w:jc w:val="center"/>
              <w:rPr>
                <w:sz w:val="22"/>
                <w:szCs w:val="22"/>
              </w:rPr>
            </w:pPr>
            <w:r w:rsidRPr="000F7AD5">
              <w:rPr>
                <w:sz w:val="22"/>
                <w:szCs w:val="22"/>
              </w:rPr>
              <w:sym w:font="Symbol" w:char="F0A3"/>
            </w:r>
            <w:r w:rsidRPr="000F7AD5">
              <w:rPr>
                <w:sz w:val="22"/>
                <w:szCs w:val="22"/>
              </w:rPr>
              <w:t xml:space="preserve"> </w:t>
            </w:r>
            <w:r w:rsidR="000551E3">
              <w:rPr>
                <w:sz w:val="22"/>
                <w:szCs w:val="22"/>
              </w:rPr>
              <w:t>12.8</w:t>
            </w:r>
            <w:r w:rsidRPr="000F7AD5">
              <w:rPr>
                <w:sz w:val="22"/>
                <w:szCs w:val="22"/>
              </w:rPr>
              <w:t xml:space="preserve"> tons per month</w:t>
            </w:r>
          </w:p>
          <w:p w:rsidRPr="000F7AD5" w:rsidR="007E5523" w:rsidP="009669D1" w:rsidRDefault="007E5523" w14:paraId="6404726D" w14:textId="77777777">
            <w:pPr>
              <w:tabs>
                <w:tab w:val="left" w:pos="-720"/>
              </w:tabs>
              <w:suppressAutoHyphens/>
              <w:jc w:val="center"/>
              <w:rPr>
                <w:sz w:val="22"/>
                <w:szCs w:val="22"/>
              </w:rPr>
            </w:pPr>
          </w:p>
          <w:p w:rsidRPr="000F7AD5" w:rsidR="007E5523" w:rsidP="009669D1" w:rsidRDefault="007E5523" w14:paraId="0E017E99" w14:textId="735ED23A">
            <w:pPr>
              <w:tabs>
                <w:tab w:val="left" w:pos="-720"/>
              </w:tabs>
              <w:suppressAutoHyphens/>
              <w:jc w:val="center"/>
              <w:rPr>
                <w:sz w:val="22"/>
                <w:szCs w:val="22"/>
              </w:rPr>
            </w:pPr>
            <w:r w:rsidRPr="000F7AD5">
              <w:rPr>
                <w:sz w:val="22"/>
                <w:szCs w:val="22"/>
              </w:rPr>
              <w:sym w:font="Symbol" w:char="F0A3"/>
            </w:r>
            <w:r w:rsidRPr="000F7AD5">
              <w:rPr>
                <w:sz w:val="22"/>
                <w:szCs w:val="22"/>
              </w:rPr>
              <w:t xml:space="preserve"> 39.0 tons per rolling 12-month period</w:t>
            </w:r>
          </w:p>
        </w:tc>
      </w:tr>
      <w:tr w:rsidRPr="000F7AD5" w:rsidR="007E5523" w:rsidTr="00AB7974" w14:paraId="2E7DF6AC" w14:textId="77777777">
        <w:trPr>
          <w:cantSplit/>
          <w:trHeight w:val="1008"/>
          <w:jc w:val="center"/>
        </w:trPr>
        <w:tc>
          <w:tcPr>
            <w:tcW w:w="1165" w:type="dxa"/>
            <w:vMerge/>
            <w:vAlign w:val="center"/>
          </w:tcPr>
          <w:p w:rsidRPr="000F7AD5" w:rsidR="007E5523" w:rsidP="009B2DFB" w:rsidRDefault="007E5523" w14:paraId="587938ED" w14:textId="77777777">
            <w:pPr>
              <w:jc w:val="center"/>
              <w:rPr>
                <w:sz w:val="22"/>
                <w:szCs w:val="22"/>
              </w:rPr>
            </w:pPr>
          </w:p>
        </w:tc>
        <w:tc>
          <w:tcPr>
            <w:tcW w:w="3690" w:type="dxa"/>
            <w:vMerge/>
            <w:vAlign w:val="center"/>
          </w:tcPr>
          <w:p w:rsidRPr="000F7AD5" w:rsidR="007E5523" w:rsidP="0037584B" w:rsidRDefault="007E5523" w14:paraId="3D89BAE2" w14:textId="77777777">
            <w:pPr>
              <w:ind w:left="839"/>
              <w:jc w:val="center"/>
              <w:rPr>
                <w:sz w:val="22"/>
                <w:szCs w:val="22"/>
              </w:rPr>
            </w:pPr>
          </w:p>
        </w:tc>
        <w:tc>
          <w:tcPr>
            <w:tcW w:w="1584" w:type="dxa"/>
            <w:vAlign w:val="center"/>
          </w:tcPr>
          <w:p w:rsidRPr="000F7AD5" w:rsidR="007E5523" w:rsidP="009B2DFB" w:rsidRDefault="007E5523" w14:paraId="67D34152" w14:textId="632BF589">
            <w:pPr>
              <w:jc w:val="center"/>
              <w:rPr>
                <w:sz w:val="22"/>
                <w:szCs w:val="22"/>
              </w:rPr>
            </w:pPr>
            <w:r w:rsidRPr="000F7AD5">
              <w:rPr>
                <w:sz w:val="22"/>
                <w:szCs w:val="22"/>
              </w:rPr>
              <w:t>Any single HAP</w:t>
            </w:r>
          </w:p>
        </w:tc>
        <w:tc>
          <w:tcPr>
            <w:tcW w:w="3456" w:type="dxa"/>
            <w:tcBorders>
              <w:top w:val="single" w:color="auto" w:sz="4" w:space="0"/>
            </w:tcBorders>
            <w:shd w:val="clear" w:color="auto" w:fill="FFFFFF" w:themeFill="background1"/>
            <w:vAlign w:val="center"/>
          </w:tcPr>
          <w:p w:rsidRPr="000F7AD5" w:rsidR="007E5523" w:rsidP="009B2DFB" w:rsidRDefault="007E5523" w14:paraId="276D4E75" w14:textId="77777777">
            <w:pPr>
              <w:tabs>
                <w:tab w:val="left" w:pos="-720"/>
              </w:tabs>
              <w:suppressAutoHyphens/>
              <w:jc w:val="center"/>
              <w:rPr>
                <w:sz w:val="22"/>
                <w:szCs w:val="22"/>
              </w:rPr>
            </w:pPr>
            <w:r w:rsidRPr="000F7AD5">
              <w:rPr>
                <w:sz w:val="22"/>
                <w:szCs w:val="22"/>
              </w:rPr>
              <w:sym w:font="Symbol" w:char="F0A3"/>
            </w:r>
            <w:r w:rsidRPr="000F7AD5">
              <w:rPr>
                <w:sz w:val="22"/>
                <w:szCs w:val="22"/>
              </w:rPr>
              <w:t xml:space="preserve"> 4.9 tons per month</w:t>
            </w:r>
          </w:p>
          <w:p w:rsidRPr="000F7AD5" w:rsidR="007E5523" w:rsidP="009B2DFB" w:rsidRDefault="007E5523" w14:paraId="27679B0C" w14:textId="77777777">
            <w:pPr>
              <w:tabs>
                <w:tab w:val="left" w:pos="-720"/>
              </w:tabs>
              <w:suppressAutoHyphens/>
              <w:jc w:val="center"/>
              <w:rPr>
                <w:sz w:val="22"/>
                <w:szCs w:val="22"/>
              </w:rPr>
            </w:pPr>
          </w:p>
          <w:p w:rsidRPr="000F7AD5" w:rsidR="007E5523" w:rsidP="00867DB8" w:rsidRDefault="007E5523" w14:paraId="2E7DE319" w14:textId="503AC1CF">
            <w:pPr>
              <w:tabs>
                <w:tab w:val="left" w:pos="-720"/>
              </w:tabs>
              <w:suppressAutoHyphens/>
              <w:jc w:val="center"/>
              <w:rPr>
                <w:sz w:val="22"/>
                <w:szCs w:val="22"/>
              </w:rPr>
            </w:pPr>
            <w:r w:rsidRPr="000F7AD5">
              <w:rPr>
                <w:sz w:val="22"/>
                <w:szCs w:val="22"/>
              </w:rPr>
              <w:sym w:font="Symbol" w:char="F0A3"/>
            </w:r>
            <w:r w:rsidRPr="000F7AD5">
              <w:rPr>
                <w:sz w:val="22"/>
                <w:szCs w:val="22"/>
              </w:rPr>
              <w:t xml:space="preserve"> 7.5 tons per rolling 12-month period</w:t>
            </w:r>
          </w:p>
        </w:tc>
      </w:tr>
      <w:tr w:rsidRPr="000F7AD5" w:rsidR="007E5523" w:rsidTr="00AB7974" w14:paraId="32EEEE92" w14:textId="77777777">
        <w:trPr>
          <w:cantSplit/>
          <w:trHeight w:val="1008"/>
          <w:jc w:val="center"/>
        </w:trPr>
        <w:tc>
          <w:tcPr>
            <w:tcW w:w="1165" w:type="dxa"/>
            <w:vMerge/>
            <w:vAlign w:val="center"/>
          </w:tcPr>
          <w:p w:rsidRPr="000F7AD5" w:rsidR="007E5523" w:rsidP="009B2DFB" w:rsidRDefault="007E5523" w14:paraId="6B8BEF04" w14:textId="77777777">
            <w:pPr>
              <w:jc w:val="center"/>
              <w:rPr>
                <w:sz w:val="22"/>
                <w:szCs w:val="22"/>
              </w:rPr>
            </w:pPr>
          </w:p>
        </w:tc>
        <w:tc>
          <w:tcPr>
            <w:tcW w:w="3690" w:type="dxa"/>
            <w:vMerge/>
            <w:vAlign w:val="center"/>
          </w:tcPr>
          <w:p w:rsidRPr="000F7AD5" w:rsidR="007E5523" w:rsidP="0037584B" w:rsidRDefault="007E5523" w14:paraId="725D623D" w14:textId="77777777">
            <w:pPr>
              <w:ind w:left="839"/>
              <w:jc w:val="center"/>
              <w:rPr>
                <w:sz w:val="22"/>
                <w:szCs w:val="22"/>
              </w:rPr>
            </w:pPr>
          </w:p>
        </w:tc>
        <w:tc>
          <w:tcPr>
            <w:tcW w:w="1584" w:type="dxa"/>
            <w:vAlign w:val="center"/>
          </w:tcPr>
          <w:p w:rsidRPr="000F7AD5" w:rsidR="007E5523" w:rsidP="009B2DFB" w:rsidRDefault="007E5523" w14:paraId="038EACAF" w14:textId="287778B7">
            <w:pPr>
              <w:jc w:val="center"/>
              <w:rPr>
                <w:sz w:val="22"/>
                <w:szCs w:val="22"/>
              </w:rPr>
            </w:pPr>
            <w:r w:rsidRPr="000F7AD5">
              <w:rPr>
                <w:sz w:val="22"/>
                <w:szCs w:val="22"/>
              </w:rPr>
              <w:t>Total HAP</w:t>
            </w:r>
          </w:p>
        </w:tc>
        <w:tc>
          <w:tcPr>
            <w:tcW w:w="3456" w:type="dxa"/>
            <w:shd w:val="clear" w:color="auto" w:fill="FFFFFF" w:themeFill="background1"/>
            <w:vAlign w:val="center"/>
          </w:tcPr>
          <w:p w:rsidRPr="000F7AD5" w:rsidR="007E5523" w:rsidP="009B2DFB" w:rsidRDefault="007E5523" w14:paraId="2D7986B8" w14:textId="77777777">
            <w:pPr>
              <w:tabs>
                <w:tab w:val="left" w:pos="-720"/>
              </w:tabs>
              <w:suppressAutoHyphens/>
              <w:jc w:val="center"/>
              <w:rPr>
                <w:sz w:val="22"/>
                <w:szCs w:val="22"/>
              </w:rPr>
            </w:pPr>
            <w:r w:rsidRPr="000F7AD5">
              <w:rPr>
                <w:sz w:val="22"/>
                <w:szCs w:val="22"/>
              </w:rPr>
              <w:sym w:font="Symbol" w:char="F0A3"/>
            </w:r>
            <w:r w:rsidRPr="000F7AD5">
              <w:rPr>
                <w:sz w:val="22"/>
                <w:szCs w:val="22"/>
              </w:rPr>
              <w:t xml:space="preserve"> 9.0 tons per month</w:t>
            </w:r>
          </w:p>
          <w:p w:rsidRPr="000F7AD5" w:rsidR="007E5523" w:rsidP="009B2DFB" w:rsidRDefault="007E5523" w14:paraId="2A32160A" w14:textId="77777777">
            <w:pPr>
              <w:tabs>
                <w:tab w:val="left" w:pos="-720"/>
              </w:tabs>
              <w:suppressAutoHyphens/>
              <w:jc w:val="center"/>
              <w:rPr>
                <w:sz w:val="22"/>
                <w:szCs w:val="22"/>
              </w:rPr>
            </w:pPr>
          </w:p>
          <w:p w:rsidRPr="000F7AD5" w:rsidR="007E5523" w:rsidP="00867DB8" w:rsidRDefault="007E5523" w14:paraId="1383660E" w14:textId="792A0C98">
            <w:pPr>
              <w:tabs>
                <w:tab w:val="left" w:pos="-720"/>
              </w:tabs>
              <w:suppressAutoHyphens/>
              <w:jc w:val="center"/>
              <w:rPr>
                <w:sz w:val="22"/>
                <w:szCs w:val="22"/>
              </w:rPr>
            </w:pPr>
            <w:r w:rsidRPr="000F7AD5">
              <w:rPr>
                <w:sz w:val="22"/>
                <w:szCs w:val="22"/>
              </w:rPr>
              <w:sym w:font="Symbol" w:char="F0A3"/>
            </w:r>
            <w:r w:rsidRPr="000F7AD5">
              <w:rPr>
                <w:sz w:val="22"/>
                <w:szCs w:val="22"/>
              </w:rPr>
              <w:t xml:space="preserve"> 19.5 tons per rolling 12-month period</w:t>
            </w:r>
          </w:p>
        </w:tc>
      </w:tr>
      <w:tr w:rsidRPr="000F7AD5" w:rsidR="007E5523" w:rsidTr="00AB7974" w14:paraId="24F2CFED" w14:textId="77777777">
        <w:trPr>
          <w:cantSplit/>
          <w:trHeight w:val="1008"/>
          <w:jc w:val="center"/>
        </w:trPr>
        <w:tc>
          <w:tcPr>
            <w:tcW w:w="1165" w:type="dxa"/>
            <w:vMerge/>
            <w:vAlign w:val="center"/>
          </w:tcPr>
          <w:p w:rsidRPr="000F7AD5" w:rsidR="007E5523" w:rsidP="009B2DFB" w:rsidRDefault="007E5523" w14:paraId="0D85D457" w14:textId="77777777">
            <w:pPr>
              <w:jc w:val="center"/>
              <w:rPr>
                <w:sz w:val="22"/>
                <w:szCs w:val="22"/>
              </w:rPr>
            </w:pPr>
          </w:p>
        </w:tc>
        <w:tc>
          <w:tcPr>
            <w:tcW w:w="3690" w:type="dxa"/>
            <w:vMerge/>
            <w:vAlign w:val="center"/>
          </w:tcPr>
          <w:p w:rsidRPr="000F7AD5" w:rsidR="007E5523" w:rsidP="0037584B" w:rsidRDefault="007E5523" w14:paraId="622FC98C" w14:textId="77777777">
            <w:pPr>
              <w:ind w:left="839"/>
              <w:jc w:val="center"/>
              <w:rPr>
                <w:sz w:val="22"/>
                <w:szCs w:val="22"/>
              </w:rPr>
            </w:pPr>
          </w:p>
        </w:tc>
        <w:tc>
          <w:tcPr>
            <w:tcW w:w="1584" w:type="dxa"/>
            <w:vAlign w:val="center"/>
          </w:tcPr>
          <w:p w:rsidRPr="000F7AD5" w:rsidR="007E5523" w:rsidP="009B2DFB" w:rsidRDefault="007E5523" w14:paraId="5E53E5AF" w14:textId="0A5EC632">
            <w:pPr>
              <w:jc w:val="center"/>
              <w:rPr>
                <w:sz w:val="22"/>
                <w:szCs w:val="22"/>
              </w:rPr>
            </w:pPr>
            <w:r w:rsidRPr="000F7AD5">
              <w:rPr>
                <w:sz w:val="22"/>
                <w:szCs w:val="22"/>
              </w:rPr>
              <w:t>SO</w:t>
            </w:r>
            <w:r w:rsidRPr="000F7AD5">
              <w:rPr>
                <w:sz w:val="22"/>
                <w:szCs w:val="22"/>
                <w:vertAlign w:val="subscript"/>
              </w:rPr>
              <w:t>2</w:t>
            </w:r>
          </w:p>
        </w:tc>
        <w:tc>
          <w:tcPr>
            <w:tcW w:w="3456" w:type="dxa"/>
            <w:tcBorders>
              <w:bottom w:val="single" w:color="auto" w:sz="6" w:space="0"/>
            </w:tcBorders>
            <w:shd w:val="clear" w:color="auto" w:fill="FFFFFF" w:themeFill="background1"/>
            <w:vAlign w:val="center"/>
          </w:tcPr>
          <w:p w:rsidRPr="000F7AD5" w:rsidR="007E5523" w:rsidP="009B2DFB" w:rsidRDefault="007E5523" w14:paraId="13620E0F" w14:textId="77777777">
            <w:pPr>
              <w:tabs>
                <w:tab w:val="left" w:pos="-720"/>
              </w:tabs>
              <w:suppressAutoHyphens/>
              <w:jc w:val="center"/>
              <w:rPr>
                <w:sz w:val="22"/>
                <w:szCs w:val="22"/>
              </w:rPr>
            </w:pPr>
            <w:r w:rsidRPr="000F7AD5">
              <w:rPr>
                <w:sz w:val="22"/>
                <w:szCs w:val="22"/>
              </w:rPr>
              <w:sym w:font="Symbol" w:char="F0A3"/>
            </w:r>
            <w:r w:rsidRPr="000F7AD5">
              <w:rPr>
                <w:sz w:val="22"/>
                <w:szCs w:val="22"/>
              </w:rPr>
              <w:t xml:space="preserve"> 0.06 ton per month</w:t>
            </w:r>
          </w:p>
          <w:p w:rsidRPr="000F7AD5" w:rsidR="007E5523" w:rsidP="009B2DFB" w:rsidRDefault="007E5523" w14:paraId="33C20C73" w14:textId="77777777">
            <w:pPr>
              <w:tabs>
                <w:tab w:val="left" w:pos="-720"/>
              </w:tabs>
              <w:suppressAutoHyphens/>
              <w:jc w:val="center"/>
              <w:rPr>
                <w:sz w:val="22"/>
                <w:szCs w:val="22"/>
              </w:rPr>
            </w:pPr>
          </w:p>
          <w:p w:rsidR="00727248" w:rsidP="00457E70" w:rsidRDefault="007E5523" w14:paraId="1EC3E336" w14:textId="77777777">
            <w:pPr>
              <w:tabs>
                <w:tab w:val="left" w:pos="-720"/>
              </w:tabs>
              <w:suppressAutoHyphens/>
              <w:jc w:val="center"/>
              <w:rPr>
                <w:sz w:val="22"/>
                <w:szCs w:val="22"/>
              </w:rPr>
            </w:pPr>
            <w:r w:rsidRPr="000F7AD5">
              <w:rPr>
                <w:sz w:val="22"/>
                <w:szCs w:val="22"/>
              </w:rPr>
              <w:sym w:font="Symbol" w:char="F0A3"/>
            </w:r>
            <w:r w:rsidRPr="000F7AD5">
              <w:rPr>
                <w:sz w:val="22"/>
                <w:szCs w:val="22"/>
              </w:rPr>
              <w:t xml:space="preserve"> 0.6 ton per rolling</w:t>
            </w:r>
            <w:r w:rsidR="00457E70">
              <w:rPr>
                <w:sz w:val="22"/>
                <w:szCs w:val="22"/>
              </w:rPr>
              <w:t xml:space="preserve"> </w:t>
            </w:r>
            <w:r w:rsidRPr="000F7AD5">
              <w:rPr>
                <w:sz w:val="22"/>
                <w:szCs w:val="22"/>
              </w:rPr>
              <w:t xml:space="preserve">12-month </w:t>
            </w:r>
          </w:p>
          <w:p w:rsidRPr="000F7AD5" w:rsidR="007E5523" w:rsidP="00457E70" w:rsidRDefault="007E5523" w14:paraId="539F6502" w14:textId="0FBB47F3">
            <w:pPr>
              <w:tabs>
                <w:tab w:val="left" w:pos="-720"/>
              </w:tabs>
              <w:suppressAutoHyphens/>
              <w:jc w:val="center"/>
              <w:rPr>
                <w:sz w:val="22"/>
                <w:szCs w:val="22"/>
              </w:rPr>
            </w:pPr>
            <w:r w:rsidRPr="000F7AD5">
              <w:rPr>
                <w:sz w:val="22"/>
                <w:szCs w:val="22"/>
              </w:rPr>
              <w:t>period</w:t>
            </w:r>
          </w:p>
        </w:tc>
      </w:tr>
      <w:tr w:rsidRPr="000F7AD5" w:rsidR="007E5523" w:rsidTr="00AB7974" w14:paraId="5EB80D5A" w14:textId="77777777">
        <w:trPr>
          <w:cantSplit/>
          <w:jc w:val="center"/>
        </w:trPr>
        <w:tc>
          <w:tcPr>
            <w:tcW w:w="1165" w:type="dxa"/>
            <w:vMerge/>
            <w:vAlign w:val="center"/>
          </w:tcPr>
          <w:p w:rsidRPr="000F7AD5" w:rsidR="007E5523" w:rsidP="009B2DFB" w:rsidRDefault="007E5523" w14:paraId="654B59DC" w14:textId="63D0AA22">
            <w:pPr>
              <w:jc w:val="center"/>
              <w:rPr>
                <w:sz w:val="22"/>
                <w:szCs w:val="22"/>
              </w:rPr>
            </w:pPr>
          </w:p>
        </w:tc>
        <w:tc>
          <w:tcPr>
            <w:tcW w:w="3690" w:type="dxa"/>
            <w:vMerge/>
            <w:vAlign w:val="center"/>
          </w:tcPr>
          <w:p w:rsidRPr="000F7AD5" w:rsidR="007E5523" w:rsidP="006A21AB" w:rsidRDefault="007E5523" w14:paraId="16C33586" w14:textId="476FB20D">
            <w:pPr>
              <w:jc w:val="center"/>
              <w:rPr>
                <w:sz w:val="22"/>
                <w:szCs w:val="22"/>
              </w:rPr>
            </w:pPr>
          </w:p>
        </w:tc>
        <w:tc>
          <w:tcPr>
            <w:tcW w:w="1584" w:type="dxa"/>
            <w:vAlign w:val="center"/>
          </w:tcPr>
          <w:p w:rsidRPr="000F7AD5" w:rsidR="007E5523" w:rsidP="009B2DFB" w:rsidRDefault="007E5523" w14:paraId="59E91F09" w14:textId="70E62B1A">
            <w:pPr>
              <w:jc w:val="center"/>
              <w:rPr>
                <w:sz w:val="22"/>
                <w:szCs w:val="22"/>
              </w:rPr>
            </w:pPr>
            <w:r w:rsidRPr="000F7AD5">
              <w:rPr>
                <w:sz w:val="22"/>
                <w:szCs w:val="22"/>
              </w:rPr>
              <w:t>NO</w:t>
            </w:r>
            <w:r w:rsidRPr="000F7AD5">
              <w:rPr>
                <w:sz w:val="22"/>
                <w:szCs w:val="22"/>
                <w:vertAlign w:val="subscript"/>
              </w:rPr>
              <w:t>x</w:t>
            </w:r>
          </w:p>
        </w:tc>
        <w:tc>
          <w:tcPr>
            <w:tcW w:w="3456" w:type="dxa"/>
            <w:tcBorders>
              <w:top w:val="single" w:color="auto" w:sz="6" w:space="0"/>
              <w:bottom w:val="single" w:color="auto" w:sz="4" w:space="0"/>
            </w:tcBorders>
            <w:shd w:val="clear" w:color="auto" w:fill="FFFFFF" w:themeFill="background1"/>
            <w:vAlign w:val="center"/>
          </w:tcPr>
          <w:p w:rsidRPr="000F7AD5" w:rsidR="007E5523" w:rsidP="009B2DFB" w:rsidRDefault="007E5523" w14:paraId="024A49C3" w14:textId="3A2878D3">
            <w:pPr>
              <w:tabs>
                <w:tab w:val="left" w:pos="-720"/>
              </w:tabs>
              <w:suppressAutoHyphens/>
              <w:jc w:val="center"/>
              <w:rPr>
                <w:sz w:val="22"/>
                <w:szCs w:val="22"/>
              </w:rPr>
            </w:pPr>
            <w:r w:rsidRPr="000F7AD5">
              <w:rPr>
                <w:sz w:val="22"/>
                <w:szCs w:val="22"/>
              </w:rPr>
              <w:sym w:font="Symbol" w:char="F0A3"/>
            </w:r>
            <w:r w:rsidRPr="000F7AD5">
              <w:rPr>
                <w:sz w:val="22"/>
                <w:szCs w:val="22"/>
              </w:rPr>
              <w:t xml:space="preserve"> 2.</w:t>
            </w:r>
            <w:r w:rsidR="008770B1">
              <w:rPr>
                <w:sz w:val="22"/>
                <w:szCs w:val="22"/>
              </w:rPr>
              <w:t>5</w:t>
            </w:r>
            <w:r w:rsidRPr="000F7AD5">
              <w:rPr>
                <w:sz w:val="22"/>
                <w:szCs w:val="22"/>
              </w:rPr>
              <w:t xml:space="preserve"> tons per month</w:t>
            </w:r>
          </w:p>
          <w:p w:rsidRPr="000F7AD5" w:rsidR="007E5523" w:rsidP="009B2DFB" w:rsidRDefault="007E5523" w14:paraId="76FC7D87" w14:textId="77777777">
            <w:pPr>
              <w:tabs>
                <w:tab w:val="left" w:pos="-720"/>
              </w:tabs>
              <w:suppressAutoHyphens/>
              <w:jc w:val="center"/>
              <w:rPr>
                <w:sz w:val="22"/>
                <w:szCs w:val="22"/>
              </w:rPr>
            </w:pPr>
          </w:p>
          <w:p w:rsidRPr="000F7AD5" w:rsidR="007E5523" w:rsidP="00867DB8" w:rsidRDefault="007E5523" w14:paraId="5F586F70" w14:textId="03F5D121">
            <w:pPr>
              <w:tabs>
                <w:tab w:val="left" w:pos="-720"/>
              </w:tabs>
              <w:suppressAutoHyphens/>
              <w:jc w:val="center"/>
              <w:rPr>
                <w:sz w:val="22"/>
                <w:szCs w:val="22"/>
              </w:rPr>
            </w:pPr>
            <w:r w:rsidRPr="000F7AD5">
              <w:rPr>
                <w:sz w:val="22"/>
                <w:szCs w:val="22"/>
                <w:u w:val="single"/>
              </w:rPr>
              <w:t>&lt;</w:t>
            </w:r>
            <w:r w:rsidRPr="000F7AD5">
              <w:rPr>
                <w:sz w:val="22"/>
                <w:szCs w:val="22"/>
              </w:rPr>
              <w:t xml:space="preserve"> </w:t>
            </w:r>
            <w:r w:rsidR="008770B1">
              <w:rPr>
                <w:sz w:val="22"/>
                <w:szCs w:val="22"/>
              </w:rPr>
              <w:t>30.4</w:t>
            </w:r>
            <w:r w:rsidRPr="000F7AD5">
              <w:rPr>
                <w:sz w:val="22"/>
                <w:szCs w:val="22"/>
              </w:rPr>
              <w:t xml:space="preserve"> tons per rolling 12-month period</w:t>
            </w:r>
          </w:p>
        </w:tc>
      </w:tr>
      <w:tr w:rsidRPr="000F7AD5" w:rsidR="007E5523" w:rsidTr="00AB7974" w14:paraId="203C6178" w14:textId="77777777">
        <w:trPr>
          <w:cantSplit/>
          <w:trHeight w:val="432"/>
          <w:jc w:val="center"/>
        </w:trPr>
        <w:tc>
          <w:tcPr>
            <w:tcW w:w="1165" w:type="dxa"/>
            <w:vMerge/>
            <w:vAlign w:val="center"/>
          </w:tcPr>
          <w:p w:rsidRPr="000F7AD5" w:rsidR="007E5523" w:rsidP="009B2DFB" w:rsidRDefault="007E5523" w14:paraId="1E61A148" w14:textId="77777777">
            <w:pPr>
              <w:jc w:val="center"/>
              <w:rPr>
                <w:sz w:val="22"/>
                <w:szCs w:val="22"/>
              </w:rPr>
            </w:pPr>
          </w:p>
        </w:tc>
        <w:tc>
          <w:tcPr>
            <w:tcW w:w="3690" w:type="dxa"/>
            <w:vMerge/>
            <w:vAlign w:val="center"/>
          </w:tcPr>
          <w:p w:rsidRPr="000F7AD5" w:rsidR="007E5523" w:rsidP="0037584B" w:rsidRDefault="007E5523" w14:paraId="227500C7" w14:textId="77777777">
            <w:pPr>
              <w:ind w:left="839"/>
              <w:jc w:val="center"/>
              <w:rPr>
                <w:sz w:val="22"/>
                <w:szCs w:val="22"/>
              </w:rPr>
            </w:pPr>
          </w:p>
        </w:tc>
        <w:tc>
          <w:tcPr>
            <w:tcW w:w="1584" w:type="dxa"/>
            <w:vAlign w:val="center"/>
          </w:tcPr>
          <w:p w:rsidRPr="000F7AD5" w:rsidR="007E5523" w:rsidP="009B2DFB" w:rsidRDefault="007E5523" w14:paraId="7DAB9FEA" w14:textId="49107476">
            <w:pPr>
              <w:jc w:val="center"/>
              <w:rPr>
                <w:sz w:val="22"/>
                <w:szCs w:val="22"/>
              </w:rPr>
            </w:pPr>
            <w:r w:rsidRPr="000F7AD5">
              <w:rPr>
                <w:sz w:val="22"/>
                <w:szCs w:val="22"/>
              </w:rPr>
              <w:t>CO</w:t>
            </w:r>
          </w:p>
        </w:tc>
        <w:tc>
          <w:tcPr>
            <w:tcW w:w="3456" w:type="dxa"/>
            <w:tcBorders>
              <w:top w:val="single" w:color="auto" w:sz="4" w:space="0"/>
            </w:tcBorders>
            <w:shd w:val="clear" w:color="auto" w:fill="FFFFFF" w:themeFill="background1"/>
            <w:vAlign w:val="center"/>
          </w:tcPr>
          <w:p w:rsidRPr="000F7AD5" w:rsidR="007E5523" w:rsidP="009B2DFB" w:rsidRDefault="007E5523" w14:paraId="78F6D5A6" w14:textId="1C46BDE6">
            <w:pPr>
              <w:tabs>
                <w:tab w:val="left" w:pos="-720"/>
              </w:tabs>
              <w:suppressAutoHyphens/>
              <w:jc w:val="center"/>
              <w:rPr>
                <w:sz w:val="22"/>
                <w:szCs w:val="22"/>
              </w:rPr>
            </w:pPr>
            <w:r w:rsidRPr="000F7AD5">
              <w:rPr>
                <w:sz w:val="22"/>
                <w:szCs w:val="22"/>
              </w:rPr>
              <w:sym w:font="Symbol" w:char="F0A3"/>
            </w:r>
            <w:r w:rsidRPr="000F7AD5">
              <w:rPr>
                <w:sz w:val="22"/>
                <w:szCs w:val="22"/>
              </w:rPr>
              <w:t xml:space="preserve"> 2.1 tons per month</w:t>
            </w:r>
          </w:p>
          <w:p w:rsidRPr="000F7AD5" w:rsidR="007E5523" w:rsidP="009B2DFB" w:rsidRDefault="007E5523" w14:paraId="306F4388" w14:textId="77777777">
            <w:pPr>
              <w:tabs>
                <w:tab w:val="left" w:pos="-720"/>
              </w:tabs>
              <w:suppressAutoHyphens/>
              <w:jc w:val="center"/>
              <w:rPr>
                <w:sz w:val="22"/>
                <w:szCs w:val="22"/>
              </w:rPr>
            </w:pPr>
          </w:p>
          <w:p w:rsidRPr="000F7AD5" w:rsidR="007E5523" w:rsidP="009B2DFB" w:rsidRDefault="007E5523" w14:paraId="377E868F" w14:textId="0E09147B">
            <w:pPr>
              <w:tabs>
                <w:tab w:val="left" w:pos="-720"/>
              </w:tabs>
              <w:suppressAutoHyphens/>
              <w:jc w:val="center"/>
              <w:rPr>
                <w:sz w:val="22"/>
                <w:szCs w:val="22"/>
              </w:rPr>
            </w:pPr>
            <w:r w:rsidRPr="000F7AD5">
              <w:rPr>
                <w:sz w:val="22"/>
                <w:szCs w:val="22"/>
                <w:u w:val="single"/>
              </w:rPr>
              <w:t>&lt;</w:t>
            </w:r>
            <w:r w:rsidRPr="000F7AD5">
              <w:rPr>
                <w:sz w:val="22"/>
                <w:szCs w:val="22"/>
              </w:rPr>
              <w:t xml:space="preserve"> 23.9 tons per rolling 12-month period</w:t>
            </w:r>
          </w:p>
          <w:p w:rsidRPr="000F7AD5" w:rsidR="007E5523" w:rsidP="009B2DFB" w:rsidRDefault="007E5523" w14:paraId="3C22DB1B" w14:textId="77777777">
            <w:pPr>
              <w:jc w:val="center"/>
              <w:rPr>
                <w:sz w:val="22"/>
                <w:szCs w:val="22"/>
              </w:rPr>
            </w:pPr>
          </w:p>
        </w:tc>
      </w:tr>
      <w:tr w:rsidRPr="000F7AD5" w:rsidR="007E5523" w:rsidTr="00AB7974" w14:paraId="6ABB6006" w14:textId="77777777">
        <w:trPr>
          <w:cantSplit/>
          <w:jc w:val="center"/>
        </w:trPr>
        <w:tc>
          <w:tcPr>
            <w:tcW w:w="1165" w:type="dxa"/>
            <w:vMerge/>
            <w:vAlign w:val="center"/>
          </w:tcPr>
          <w:p w:rsidRPr="000F7AD5" w:rsidR="007E5523" w:rsidP="009B2DFB" w:rsidRDefault="007E5523" w14:paraId="238EF2A3" w14:textId="77777777">
            <w:pPr>
              <w:jc w:val="center"/>
              <w:rPr>
                <w:sz w:val="22"/>
                <w:szCs w:val="22"/>
              </w:rPr>
            </w:pPr>
          </w:p>
        </w:tc>
        <w:tc>
          <w:tcPr>
            <w:tcW w:w="3690" w:type="dxa"/>
            <w:vMerge/>
            <w:vAlign w:val="center"/>
          </w:tcPr>
          <w:p w:rsidRPr="000F7AD5" w:rsidR="007E5523" w:rsidP="0037584B" w:rsidRDefault="007E5523" w14:paraId="3DFF24EA" w14:textId="77777777">
            <w:pPr>
              <w:ind w:left="839"/>
              <w:jc w:val="center"/>
              <w:rPr>
                <w:sz w:val="22"/>
                <w:szCs w:val="22"/>
              </w:rPr>
            </w:pPr>
          </w:p>
        </w:tc>
        <w:tc>
          <w:tcPr>
            <w:tcW w:w="1584" w:type="dxa"/>
            <w:vAlign w:val="center"/>
          </w:tcPr>
          <w:p w:rsidRPr="000F7AD5" w:rsidR="007E5523" w:rsidP="009B2DFB" w:rsidRDefault="007E5523" w14:paraId="00380CB6" w14:textId="1750C1FD">
            <w:pPr>
              <w:jc w:val="center"/>
              <w:rPr>
                <w:sz w:val="22"/>
                <w:szCs w:val="22"/>
              </w:rPr>
            </w:pPr>
            <w:r w:rsidRPr="000F7AD5">
              <w:rPr>
                <w:sz w:val="22"/>
                <w:szCs w:val="22"/>
              </w:rPr>
              <w:t>Smoke</w:t>
            </w:r>
          </w:p>
        </w:tc>
        <w:tc>
          <w:tcPr>
            <w:tcW w:w="3456" w:type="dxa"/>
            <w:shd w:val="clear" w:color="auto" w:fill="FFFFFF" w:themeFill="background1"/>
            <w:vAlign w:val="center"/>
          </w:tcPr>
          <w:p w:rsidRPr="000F7AD5" w:rsidR="007E5523" w:rsidP="009B2DFB" w:rsidRDefault="00CB1005" w14:paraId="014C6495" w14:textId="2F4F93EE">
            <w:pPr>
              <w:jc w:val="center"/>
              <w:rPr>
                <w:sz w:val="22"/>
                <w:szCs w:val="22"/>
              </w:rPr>
            </w:pPr>
            <w:r w:rsidRPr="000F7AD5">
              <w:rPr>
                <w:spacing w:val="-1"/>
                <w:sz w:val="22"/>
                <w:szCs w:val="22"/>
              </w:rPr>
              <w:t xml:space="preserve">   </w:t>
            </w:r>
            <w:r w:rsidRPr="000F7AD5" w:rsidR="007E5523">
              <w:rPr>
                <w:spacing w:val="-1"/>
                <w:sz w:val="22"/>
                <w:szCs w:val="22"/>
              </w:rPr>
              <w:t>&lt;</w:t>
            </w:r>
            <w:r w:rsidRPr="000F7AD5">
              <w:rPr>
                <w:spacing w:val="-1"/>
                <w:sz w:val="22"/>
                <w:szCs w:val="22"/>
              </w:rPr>
              <w:t xml:space="preserve"> </w:t>
            </w:r>
            <w:r w:rsidRPr="000F7AD5" w:rsidR="007E5523">
              <w:rPr>
                <w:spacing w:val="-1"/>
                <w:sz w:val="22"/>
                <w:szCs w:val="22"/>
              </w:rPr>
              <w:t>No. 1 of Chart</w:t>
            </w:r>
            <w:r w:rsidRPr="000F7AD5" w:rsidR="007E5523">
              <w:rPr>
                <w:spacing w:val="-1"/>
                <w:sz w:val="22"/>
                <w:szCs w:val="22"/>
                <w:vertAlign w:val="superscript"/>
              </w:rPr>
              <w:t xml:space="preserve"> b</w:t>
            </w:r>
            <w:r w:rsidRPr="000F7AD5" w:rsidR="007E5523">
              <w:rPr>
                <w:spacing w:val="-1"/>
                <w:sz w:val="22"/>
                <w:szCs w:val="22"/>
              </w:rPr>
              <w:t>, except No. 1 to &lt;</w:t>
            </w:r>
            <w:r w:rsidRPr="000F7AD5">
              <w:rPr>
                <w:spacing w:val="-1"/>
                <w:sz w:val="22"/>
                <w:szCs w:val="22"/>
              </w:rPr>
              <w:t xml:space="preserve"> </w:t>
            </w:r>
            <w:r w:rsidRPr="000F7AD5" w:rsidR="007E5523">
              <w:rPr>
                <w:spacing w:val="-1"/>
                <w:sz w:val="22"/>
                <w:szCs w:val="22"/>
              </w:rPr>
              <w:t xml:space="preserve">No. 2 of Chart for </w:t>
            </w:r>
            <w:r w:rsidRPr="000F7AD5" w:rsidR="007E5523">
              <w:rPr>
                <w:spacing w:val="-1"/>
                <w:sz w:val="22"/>
                <w:szCs w:val="22"/>
                <w:u w:val="single"/>
              </w:rPr>
              <w:t>&lt;</w:t>
            </w:r>
            <w:r w:rsidRPr="000F7AD5" w:rsidR="007E5523">
              <w:rPr>
                <w:spacing w:val="-1"/>
                <w:sz w:val="22"/>
                <w:szCs w:val="22"/>
              </w:rPr>
              <w:t xml:space="preserve"> six (6) minutes during any one hour</w:t>
            </w:r>
          </w:p>
        </w:tc>
      </w:tr>
      <w:tr w:rsidRPr="000F7AD5" w:rsidR="007E5523" w:rsidTr="00AB7974" w14:paraId="58210921" w14:textId="77777777">
        <w:trPr>
          <w:cantSplit/>
          <w:jc w:val="center"/>
        </w:trPr>
        <w:tc>
          <w:tcPr>
            <w:tcW w:w="1165" w:type="dxa"/>
            <w:vMerge/>
            <w:vAlign w:val="center"/>
          </w:tcPr>
          <w:p w:rsidRPr="000F7AD5" w:rsidR="007E5523" w:rsidP="009B2DFB" w:rsidRDefault="007E5523" w14:paraId="4B71B3B5" w14:textId="77777777">
            <w:pPr>
              <w:jc w:val="center"/>
              <w:rPr>
                <w:sz w:val="22"/>
                <w:szCs w:val="22"/>
              </w:rPr>
            </w:pPr>
          </w:p>
        </w:tc>
        <w:tc>
          <w:tcPr>
            <w:tcW w:w="3690" w:type="dxa"/>
            <w:vMerge/>
            <w:vAlign w:val="center"/>
          </w:tcPr>
          <w:p w:rsidRPr="000F7AD5" w:rsidR="007E5523" w:rsidP="0037584B" w:rsidRDefault="007E5523" w14:paraId="64080A68" w14:textId="77777777">
            <w:pPr>
              <w:ind w:left="839"/>
              <w:jc w:val="center"/>
              <w:rPr>
                <w:sz w:val="22"/>
                <w:szCs w:val="22"/>
              </w:rPr>
            </w:pPr>
          </w:p>
        </w:tc>
        <w:tc>
          <w:tcPr>
            <w:tcW w:w="1584" w:type="dxa"/>
            <w:vAlign w:val="center"/>
          </w:tcPr>
          <w:p w:rsidRPr="000F7AD5" w:rsidR="007E5523" w:rsidP="009B2DFB" w:rsidRDefault="007E5523" w14:paraId="238427F3" w14:textId="102EC8B3">
            <w:pPr>
              <w:jc w:val="center"/>
              <w:rPr>
                <w:sz w:val="22"/>
                <w:szCs w:val="22"/>
              </w:rPr>
            </w:pPr>
            <w:r w:rsidRPr="000F7AD5">
              <w:rPr>
                <w:sz w:val="22"/>
                <w:szCs w:val="22"/>
              </w:rPr>
              <w:t>Opacity</w:t>
            </w:r>
          </w:p>
        </w:tc>
        <w:tc>
          <w:tcPr>
            <w:tcW w:w="3456" w:type="dxa"/>
            <w:shd w:val="clear" w:color="auto" w:fill="FFFFFF" w:themeFill="background1"/>
            <w:vAlign w:val="center"/>
          </w:tcPr>
          <w:p w:rsidRPr="000F7AD5" w:rsidR="007E5523" w:rsidP="009B2DFB" w:rsidRDefault="007E5523" w14:paraId="1FFD6BE6" w14:textId="7F465C64">
            <w:pPr>
              <w:jc w:val="center"/>
              <w:rPr>
                <w:sz w:val="22"/>
                <w:szCs w:val="22"/>
              </w:rPr>
            </w:pPr>
            <w:r w:rsidRPr="000F7AD5">
              <w:rPr>
                <w:spacing w:val="-1"/>
                <w:sz w:val="22"/>
                <w:szCs w:val="22"/>
              </w:rPr>
              <w:sym w:font="Symbol" w:char="F0A3"/>
            </w:r>
            <w:r w:rsidRPr="000F7AD5">
              <w:rPr>
                <w:spacing w:val="-1"/>
                <w:sz w:val="22"/>
                <w:szCs w:val="22"/>
              </w:rPr>
              <w:t xml:space="preserve"> 20 percent except 20 to </w:t>
            </w:r>
            <w:r w:rsidRPr="000F7AD5">
              <w:rPr>
                <w:spacing w:val="-1"/>
                <w:sz w:val="22"/>
                <w:szCs w:val="22"/>
                <w:u w:val="single"/>
              </w:rPr>
              <w:t>&lt;</w:t>
            </w:r>
            <w:r w:rsidRPr="000F7AD5">
              <w:rPr>
                <w:spacing w:val="-1"/>
                <w:sz w:val="22"/>
                <w:szCs w:val="22"/>
              </w:rPr>
              <w:t xml:space="preserve"> 40 percent for </w:t>
            </w:r>
            <w:r w:rsidRPr="000F7AD5">
              <w:rPr>
                <w:spacing w:val="-1"/>
                <w:sz w:val="22"/>
                <w:szCs w:val="22"/>
              </w:rPr>
              <w:sym w:font="Symbol" w:char="F0A3"/>
            </w:r>
            <w:r w:rsidRPr="000F7AD5">
              <w:rPr>
                <w:spacing w:val="-1"/>
                <w:sz w:val="22"/>
                <w:szCs w:val="22"/>
              </w:rPr>
              <w:t xml:space="preserve"> two (2) minutes during any one hour</w:t>
            </w:r>
          </w:p>
        </w:tc>
      </w:tr>
    </w:tbl>
    <w:p w:rsidR="00AB7974" w:rsidP="0085516C" w:rsidRDefault="00AB7974" w14:paraId="17099AD4" w14:textId="77777777">
      <w:pPr>
        <w:ind w:left="270"/>
        <w:rPr>
          <w:b/>
          <w:bCs/>
          <w:sz w:val="20"/>
        </w:rPr>
      </w:pPr>
      <w:bookmarkStart w:name="_Hlk120271460" w:id="6"/>
    </w:p>
    <w:p w:rsidRPr="000F7AD5" w:rsidR="00C07E4B" w:rsidP="0085516C" w:rsidRDefault="00C07E4B" w14:paraId="6684A0A9" w14:textId="134D4981">
      <w:pPr>
        <w:ind w:left="270"/>
        <w:rPr>
          <w:b/>
          <w:bCs/>
          <w:sz w:val="20"/>
        </w:rPr>
      </w:pPr>
      <w:r w:rsidRPr="000F7AD5">
        <w:rPr>
          <w:b/>
          <w:bCs/>
          <w:sz w:val="20"/>
        </w:rPr>
        <w:t>Table 2 Key:</w:t>
      </w:r>
    </w:p>
    <w:p w:rsidRPr="000F7AD5" w:rsidR="00834D3A" w:rsidP="0085516C" w:rsidRDefault="00834D3A" w14:paraId="4539BD55" w14:textId="77777777">
      <w:pPr>
        <w:ind w:left="270"/>
        <w:rPr>
          <w:b/>
          <w:bCs/>
          <w:sz w:val="20"/>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3"/>
        <w:gridCol w:w="4497"/>
      </w:tblGrid>
      <w:tr w:rsidRPr="000F7AD5" w:rsidR="00C07E4B" w:rsidTr="00C2201E" w14:paraId="562684B8" w14:textId="77777777">
        <w:tc>
          <w:tcPr>
            <w:tcW w:w="4503" w:type="dxa"/>
          </w:tcPr>
          <w:p w:rsidRPr="000F7AD5" w:rsidR="00C07E4B" w:rsidP="00CC5D08" w:rsidRDefault="00C07E4B" w14:paraId="6DEEC56B" w14:textId="04E6814C">
            <w:pPr>
              <w:jc w:val="both"/>
              <w:rPr>
                <w:sz w:val="20"/>
              </w:rPr>
            </w:pPr>
            <w:bookmarkStart w:name="_Hlk163658477" w:id="7"/>
            <w:r w:rsidRPr="000F7AD5">
              <w:rPr>
                <w:sz w:val="20"/>
              </w:rPr>
              <w:t>EU = Emission Unit</w:t>
            </w:r>
          </w:p>
        </w:tc>
        <w:tc>
          <w:tcPr>
            <w:tcW w:w="4497" w:type="dxa"/>
          </w:tcPr>
          <w:p w:rsidRPr="000F7AD5" w:rsidR="00C07E4B" w:rsidP="00CC5D08" w:rsidRDefault="00C07E4B" w14:paraId="7C189559" w14:textId="77777777">
            <w:pPr>
              <w:jc w:val="both"/>
              <w:rPr>
                <w:rFonts w:cs="Courier New"/>
                <w:sz w:val="20"/>
              </w:rPr>
            </w:pPr>
            <w:r w:rsidRPr="000F7AD5">
              <w:rPr>
                <w:rFonts w:cs="Courier New"/>
                <w:sz w:val="20"/>
              </w:rPr>
              <w:t>NO</w:t>
            </w:r>
            <w:r w:rsidRPr="000F7AD5">
              <w:rPr>
                <w:rFonts w:cs="Courier New"/>
                <w:sz w:val="20"/>
                <w:vertAlign w:val="subscript"/>
              </w:rPr>
              <w:t>x</w:t>
            </w:r>
            <w:r w:rsidRPr="000F7AD5">
              <w:rPr>
                <w:rFonts w:cs="Courier New"/>
                <w:sz w:val="20"/>
              </w:rPr>
              <w:t xml:space="preserve"> = Nitrogen Oxides</w:t>
            </w:r>
          </w:p>
        </w:tc>
      </w:tr>
      <w:tr w:rsidRPr="000F7AD5" w:rsidR="00C07E4B" w:rsidTr="00C2201E" w14:paraId="36F926DB" w14:textId="77777777">
        <w:tc>
          <w:tcPr>
            <w:tcW w:w="4503" w:type="dxa"/>
          </w:tcPr>
          <w:p w:rsidRPr="000F7AD5" w:rsidR="00C07E4B" w:rsidP="00CC5D08" w:rsidRDefault="00C07E4B" w14:paraId="1EBE7DC2" w14:textId="77777777">
            <w:pPr>
              <w:jc w:val="both"/>
              <w:rPr>
                <w:rFonts w:cs="Courier New"/>
                <w:sz w:val="20"/>
              </w:rPr>
            </w:pPr>
            <w:r w:rsidRPr="000F7AD5">
              <w:rPr>
                <w:rFonts w:cs="Courier New"/>
                <w:sz w:val="20"/>
              </w:rPr>
              <w:t>CO = Carbon Monoxide</w:t>
            </w:r>
          </w:p>
        </w:tc>
        <w:tc>
          <w:tcPr>
            <w:tcW w:w="4497" w:type="dxa"/>
          </w:tcPr>
          <w:p w:rsidRPr="000F7AD5" w:rsidR="00C07E4B" w:rsidP="00CC5D08" w:rsidRDefault="00C07E4B" w14:paraId="0CEB3912" w14:textId="77777777">
            <w:pPr>
              <w:jc w:val="both"/>
              <w:rPr>
                <w:rFonts w:cs="Courier New"/>
                <w:sz w:val="20"/>
              </w:rPr>
            </w:pPr>
            <w:r w:rsidRPr="000F7AD5">
              <w:rPr>
                <w:rFonts w:cs="Courier New"/>
                <w:sz w:val="20"/>
              </w:rPr>
              <w:t>SO</w:t>
            </w:r>
            <w:r w:rsidRPr="000F7AD5">
              <w:rPr>
                <w:rFonts w:cs="Courier New"/>
                <w:sz w:val="20"/>
                <w:vertAlign w:val="subscript"/>
              </w:rPr>
              <w:t>2</w:t>
            </w:r>
            <w:r w:rsidRPr="000F7AD5">
              <w:rPr>
                <w:rFonts w:cs="Courier New"/>
                <w:sz w:val="20"/>
              </w:rPr>
              <w:t xml:space="preserve"> = Sulfur Dioxide</w:t>
            </w:r>
          </w:p>
        </w:tc>
      </w:tr>
      <w:bookmarkEnd w:id="7"/>
      <w:tr w:rsidRPr="000F7AD5" w:rsidR="00C07E4B" w:rsidTr="00C2201E" w14:paraId="038B62B8" w14:textId="77777777">
        <w:tc>
          <w:tcPr>
            <w:tcW w:w="4503" w:type="dxa"/>
          </w:tcPr>
          <w:p w:rsidR="00C07E4B" w:rsidP="00CC5D08" w:rsidRDefault="00C07E4B" w14:paraId="0FD2566B" w14:textId="77777777">
            <w:pPr>
              <w:jc w:val="both"/>
              <w:rPr>
                <w:rFonts w:cs="Courier New"/>
                <w:sz w:val="20"/>
              </w:rPr>
            </w:pPr>
            <w:r w:rsidRPr="000F7AD5">
              <w:rPr>
                <w:rFonts w:cs="Courier New"/>
                <w:sz w:val="20"/>
              </w:rPr>
              <w:t>PM = Total Particulate Matter</w:t>
            </w:r>
          </w:p>
          <w:p w:rsidRPr="000F7AD5" w:rsidR="003952BC" w:rsidP="00CC5D08" w:rsidRDefault="002D3EBC" w14:paraId="47845408" w14:textId="4FA4B66C">
            <w:pPr>
              <w:jc w:val="both"/>
              <w:rPr>
                <w:rFonts w:cs="Courier New"/>
                <w:sz w:val="20"/>
              </w:rPr>
            </w:pPr>
            <w:r w:rsidRPr="002D3EBC">
              <w:rPr>
                <w:rFonts w:cs="Courier New"/>
                <w:sz w:val="20"/>
              </w:rPr>
              <w:t>PM</w:t>
            </w:r>
            <w:r w:rsidRPr="002D3EBC">
              <w:rPr>
                <w:rFonts w:cs="Courier New"/>
                <w:sz w:val="20"/>
                <w:vertAlign w:val="subscript"/>
              </w:rPr>
              <w:t>2.5</w:t>
            </w:r>
            <w:r w:rsidRPr="002D3EBC">
              <w:rPr>
                <w:rFonts w:cs="Courier New"/>
                <w:sz w:val="20"/>
              </w:rPr>
              <w:t xml:space="preserve"> </w:t>
            </w:r>
            <w:r w:rsidRPr="003952BC" w:rsidR="003952BC">
              <w:rPr>
                <w:rFonts w:cs="Courier New"/>
                <w:sz w:val="20"/>
              </w:rPr>
              <w:t>= Particulate Matter less than or equal to 2.5 microns in diameter</w:t>
            </w:r>
          </w:p>
          <w:p w:rsidRPr="000F7AD5" w:rsidR="00977B6D" w:rsidP="002512DA" w:rsidRDefault="00D33563" w14:paraId="4FA16566" w14:textId="55D68F03">
            <w:pPr>
              <w:rPr>
                <w:rFonts w:cs="Courier New"/>
                <w:sz w:val="20"/>
              </w:rPr>
            </w:pPr>
            <w:r w:rsidRPr="000F7AD5">
              <w:rPr>
                <w:rFonts w:cs="Courier New"/>
                <w:sz w:val="20"/>
              </w:rPr>
              <w:t xml:space="preserve">HAP = </w:t>
            </w:r>
            <w:r w:rsidRPr="000F7AD5" w:rsidR="00977B6D">
              <w:rPr>
                <w:rFonts w:cs="Courier New"/>
                <w:sz w:val="20"/>
              </w:rPr>
              <w:t>Hazardous Air Pollutant</w:t>
            </w:r>
            <w:r w:rsidRPr="000F7AD5" w:rsidDel="000F6C05" w:rsidR="00977B6D">
              <w:rPr>
                <w:rFonts w:cs="Courier New"/>
                <w:sz w:val="20"/>
              </w:rPr>
              <w:t xml:space="preserve"> </w:t>
            </w:r>
          </w:p>
          <w:p w:rsidRPr="000F7AD5" w:rsidR="00977B6D" w:rsidP="00977B6D" w:rsidRDefault="00977B6D" w14:paraId="3BEAF6E6" w14:textId="77777777">
            <w:pPr>
              <w:jc w:val="both"/>
              <w:rPr>
                <w:rFonts w:cs="Courier New"/>
                <w:sz w:val="20"/>
              </w:rPr>
            </w:pPr>
            <w:r w:rsidRPr="000F7AD5">
              <w:rPr>
                <w:rFonts w:cs="Courier New"/>
                <w:sz w:val="20"/>
              </w:rPr>
              <w:t>CMR = Code of Massachusetts Regulations</w:t>
            </w:r>
          </w:p>
          <w:p w:rsidRPr="000F7AD5" w:rsidR="00977B6D" w:rsidP="00977B6D" w:rsidRDefault="00977B6D" w14:paraId="4CB0BB3D" w14:textId="3684D4F2">
            <w:pPr>
              <w:jc w:val="both"/>
              <w:rPr>
                <w:rFonts w:cs="Courier New"/>
                <w:sz w:val="20"/>
              </w:rPr>
            </w:pPr>
            <w:r w:rsidRPr="000F7AD5">
              <w:rPr>
                <w:rFonts w:cs="Courier New"/>
                <w:sz w:val="20"/>
              </w:rPr>
              <w:t xml:space="preserve">&lt; </w:t>
            </w:r>
            <w:r w:rsidR="00970D21">
              <w:rPr>
                <w:rFonts w:cs="Courier New"/>
                <w:sz w:val="20"/>
              </w:rPr>
              <w:t xml:space="preserve">= </w:t>
            </w:r>
            <w:r w:rsidRPr="000F7AD5">
              <w:rPr>
                <w:rFonts w:cs="Courier New"/>
                <w:sz w:val="20"/>
              </w:rPr>
              <w:t>less than</w:t>
            </w:r>
            <w:r w:rsidR="00DE6BBA">
              <w:rPr>
                <w:rFonts w:cs="Courier New"/>
                <w:sz w:val="20"/>
              </w:rPr>
              <w:t xml:space="preserve"> </w:t>
            </w:r>
          </w:p>
          <w:p w:rsidRPr="000F7AD5" w:rsidR="00D33563" w:rsidP="00D33563" w:rsidRDefault="00D33563" w14:paraId="0F5465B2" w14:textId="330BF0E6">
            <w:pPr>
              <w:rPr>
                <w:rFonts w:cs="Courier New"/>
                <w:sz w:val="20"/>
              </w:rPr>
            </w:pPr>
          </w:p>
        </w:tc>
        <w:tc>
          <w:tcPr>
            <w:tcW w:w="4497" w:type="dxa"/>
          </w:tcPr>
          <w:p w:rsidRPr="000F7AD5" w:rsidR="00742443" w:rsidP="00CC5D08" w:rsidRDefault="00C07E4B" w14:paraId="38DDD153" w14:textId="77777777">
            <w:pPr>
              <w:jc w:val="both"/>
              <w:rPr>
                <w:rFonts w:cs="Courier New"/>
                <w:sz w:val="20"/>
              </w:rPr>
            </w:pPr>
            <w:r w:rsidRPr="000F7AD5">
              <w:rPr>
                <w:rFonts w:cs="Courier New"/>
                <w:sz w:val="20"/>
              </w:rPr>
              <w:t>VOC = Volatile Organic Compounds</w:t>
            </w:r>
            <w:r w:rsidRPr="000F7AD5" w:rsidR="00742443">
              <w:rPr>
                <w:rFonts w:cs="Courier New"/>
                <w:sz w:val="20"/>
              </w:rPr>
              <w:t xml:space="preserve"> </w:t>
            </w:r>
          </w:p>
          <w:p w:rsidRPr="000F7AD5" w:rsidR="00977B6D" w:rsidP="00CC5D08" w:rsidRDefault="00742443" w14:paraId="2EC573E9" w14:textId="77777777">
            <w:pPr>
              <w:jc w:val="both"/>
            </w:pPr>
            <w:r w:rsidRPr="000F7AD5">
              <w:rPr>
                <w:rFonts w:cs="Courier New"/>
                <w:sz w:val="20"/>
              </w:rPr>
              <w:t>NA = not applicable</w:t>
            </w:r>
            <w:r w:rsidRPr="000F7AD5" w:rsidR="00977B6D">
              <w:t xml:space="preserve"> </w:t>
            </w:r>
          </w:p>
          <w:p w:rsidRPr="000F7AD5" w:rsidR="00977B6D" w:rsidP="00CC5D08" w:rsidRDefault="00977B6D" w14:paraId="61BE95E9" w14:textId="77777777">
            <w:pPr>
              <w:jc w:val="both"/>
              <w:rPr>
                <w:rFonts w:cs="Courier New"/>
                <w:sz w:val="20"/>
              </w:rPr>
            </w:pPr>
            <w:r w:rsidRPr="000F7AD5">
              <w:rPr>
                <w:rFonts w:cs="Courier New"/>
                <w:sz w:val="20"/>
              </w:rPr>
              <w:t xml:space="preserve">MMBtu = Million British Thermal Unit </w:t>
            </w:r>
          </w:p>
          <w:p w:rsidRPr="000F7AD5" w:rsidR="00977B6D" w:rsidP="00CC5D08" w:rsidRDefault="00977B6D" w14:paraId="19E38079" w14:textId="77777777">
            <w:pPr>
              <w:jc w:val="both"/>
              <w:rPr>
                <w:rFonts w:cs="Courier New"/>
                <w:sz w:val="20"/>
              </w:rPr>
            </w:pPr>
            <w:r w:rsidRPr="000F7AD5">
              <w:rPr>
                <w:rFonts w:cs="Courier New"/>
                <w:sz w:val="20"/>
              </w:rPr>
              <w:t>CFR = Code of Federal Regulations</w:t>
            </w:r>
          </w:p>
          <w:p w:rsidRPr="000F7AD5" w:rsidR="00C07E4B" w:rsidP="00CC5D08" w:rsidRDefault="00977B6D" w14:paraId="33CE11BE" w14:textId="1C7A4631">
            <w:pPr>
              <w:jc w:val="both"/>
              <w:rPr>
                <w:rFonts w:cs="Courier New"/>
                <w:sz w:val="20"/>
              </w:rPr>
            </w:pPr>
            <w:r w:rsidRPr="000F7AD5">
              <w:rPr>
                <w:rFonts w:cs="Courier New"/>
                <w:sz w:val="20"/>
                <w:szCs w:val="20"/>
              </w:rPr>
              <w:t>&lt; = less than or equal to</w:t>
            </w:r>
          </w:p>
        </w:tc>
      </w:tr>
    </w:tbl>
    <w:p w:rsidRPr="000F7AD5" w:rsidR="00C07E4B" w:rsidP="00C07E4B" w:rsidRDefault="00C07E4B" w14:paraId="197C5765" w14:textId="261F8F5D">
      <w:pPr>
        <w:tabs>
          <w:tab w:val="left" w:pos="-720"/>
        </w:tabs>
        <w:suppressAutoHyphens/>
        <w:ind w:left="360"/>
        <w:outlineLvl w:val="0"/>
        <w:rPr>
          <w:b/>
          <w:bCs/>
          <w:sz w:val="20"/>
          <w:highlight w:val="yellow"/>
        </w:rPr>
      </w:pPr>
      <w:r w:rsidRPr="000F7AD5">
        <w:rPr>
          <w:b/>
          <w:bCs/>
          <w:sz w:val="20"/>
        </w:rPr>
        <w:t xml:space="preserve">Table 2 </w:t>
      </w:r>
      <w:r w:rsidRPr="000F7AD5" w:rsidR="005466D6">
        <w:rPr>
          <w:b/>
          <w:bCs/>
          <w:sz w:val="20"/>
        </w:rPr>
        <w:t>N</w:t>
      </w:r>
      <w:r w:rsidRPr="000F7AD5">
        <w:rPr>
          <w:b/>
          <w:bCs/>
          <w:sz w:val="20"/>
        </w:rPr>
        <w:t>otes:</w:t>
      </w:r>
    </w:p>
    <w:p w:rsidRPr="000F7AD5" w:rsidR="00C07E4B" w:rsidP="00C07E4B" w:rsidRDefault="00C07E4B" w14:paraId="50841120" w14:textId="54C21D3C">
      <w:pPr>
        <w:tabs>
          <w:tab w:val="left" w:pos="-720"/>
        </w:tabs>
        <w:suppressAutoHyphens/>
        <w:ind w:left="360"/>
        <w:outlineLvl w:val="0"/>
        <w:rPr>
          <w:spacing w:val="-2"/>
          <w:sz w:val="20"/>
          <w:szCs w:val="20"/>
          <w:vertAlign w:val="subscript"/>
        </w:rPr>
      </w:pPr>
      <w:r w:rsidRPr="000F7AD5">
        <w:rPr>
          <w:spacing w:val="-2"/>
          <w:sz w:val="20"/>
          <w:szCs w:val="20"/>
          <w:vertAlign w:val="superscript"/>
        </w:rPr>
        <w:t>a</w:t>
      </w:r>
      <w:r w:rsidRPr="000F7AD5" w:rsidR="006A21AB">
        <w:rPr>
          <w:spacing w:val="-2"/>
          <w:sz w:val="20"/>
          <w:szCs w:val="20"/>
        </w:rPr>
        <w:t xml:space="preserve"> </w:t>
      </w:r>
      <w:bookmarkStart w:name="_Hlk164684292" w:id="8"/>
      <w:r w:rsidRPr="000F7AD5" w:rsidR="006A21AB">
        <w:rPr>
          <w:spacing w:val="-2"/>
          <w:sz w:val="20"/>
          <w:szCs w:val="20"/>
        </w:rPr>
        <w:t>Facility-wide emission limits include all permitted as well as insignificant activities, exempt sources, and Environmental Results Program (ERP) sources.</w:t>
      </w:r>
      <w:bookmarkEnd w:id="8"/>
    </w:p>
    <w:p w:rsidRPr="000F7AD5" w:rsidR="00C07E4B" w:rsidP="00C07E4B" w:rsidRDefault="00C07E4B" w14:paraId="7591D648" w14:textId="711444A8">
      <w:pPr>
        <w:tabs>
          <w:tab w:val="left" w:pos="-720"/>
        </w:tabs>
        <w:suppressAutoHyphens/>
        <w:ind w:left="360"/>
        <w:outlineLvl w:val="0"/>
        <w:rPr>
          <w:spacing w:val="-2"/>
          <w:sz w:val="20"/>
          <w:szCs w:val="20"/>
        </w:rPr>
      </w:pPr>
      <w:r w:rsidRPr="000F7AD5">
        <w:rPr>
          <w:spacing w:val="-2"/>
          <w:sz w:val="20"/>
          <w:szCs w:val="20"/>
          <w:vertAlign w:val="subscript"/>
        </w:rPr>
        <w:t xml:space="preserve">        </w:t>
      </w:r>
    </w:p>
    <w:p w:rsidRPr="000F7AD5" w:rsidR="00C07E4B" w:rsidP="006A21AB" w:rsidRDefault="00C07E4B" w14:paraId="42BF2A36" w14:textId="3A2FBF13">
      <w:pPr>
        <w:tabs>
          <w:tab w:val="left" w:pos="-720"/>
        </w:tabs>
        <w:suppressAutoHyphens/>
        <w:ind w:left="360"/>
        <w:outlineLvl w:val="0"/>
        <w:rPr>
          <w:spacing w:val="-2"/>
          <w:sz w:val="20"/>
          <w:szCs w:val="20"/>
          <w:vertAlign w:val="superscript"/>
        </w:rPr>
      </w:pPr>
      <w:r w:rsidRPr="000F7AD5">
        <w:rPr>
          <w:spacing w:val="-2"/>
          <w:sz w:val="20"/>
          <w:szCs w:val="20"/>
          <w:vertAlign w:val="subscript"/>
        </w:rPr>
        <w:t>b</w:t>
      </w:r>
      <w:r w:rsidRPr="000F7AD5" w:rsidR="006A21AB">
        <w:rPr>
          <w:spacing w:val="-2"/>
          <w:sz w:val="20"/>
          <w:szCs w:val="20"/>
          <w:vertAlign w:val="superscript"/>
        </w:rPr>
        <w:t xml:space="preserve"> </w:t>
      </w:r>
      <w:r w:rsidRPr="000F7AD5">
        <w:rPr>
          <w:spacing w:val="-1"/>
          <w:sz w:val="20"/>
        </w:rPr>
        <w:t>Chart means the Ringelmann Scale for grading the density of smoke, as published by the United States Bureau of Mines and as referred to in the Bureau of Mines Information Circular No. 8333, or any smoke inspection guide approved by the Department.</w:t>
      </w:r>
    </w:p>
    <w:p w:rsidRPr="000F7AD5" w:rsidR="00A35D85" w:rsidP="00143AB4" w:rsidRDefault="00A35D85" w14:paraId="1A29EED3" w14:textId="77777777">
      <w:pPr>
        <w:ind w:left="90"/>
        <w:rPr>
          <w:b/>
          <w:bCs/>
          <w:sz w:val="18"/>
          <w:szCs w:val="18"/>
        </w:rPr>
      </w:pPr>
    </w:p>
    <w:bookmarkEnd w:id="6"/>
    <w:p w:rsidRPr="000F7AD5" w:rsidR="00BE6D48" w:rsidRDefault="00BE6D48" w14:paraId="45C872AE" w14:textId="167F1BE8">
      <w:pPr>
        <w:rPr>
          <w:rFonts w:eastAsiaTheme="minorHAnsi" w:cstheme="minorBidi"/>
          <w:szCs w:val="22"/>
          <w:u w:val="single"/>
        </w:rPr>
      </w:pPr>
      <w:r w:rsidRPr="000F7AD5">
        <w:rPr>
          <w:rFonts w:eastAsiaTheme="minorHAnsi" w:cstheme="minorBidi"/>
          <w:szCs w:val="22"/>
          <w:u w:val="single"/>
        </w:rPr>
        <w:br w:type="page"/>
      </w:r>
    </w:p>
    <w:p w:rsidRPr="000F7AD5" w:rsidR="00924460" w:rsidP="004479BA" w:rsidRDefault="00924460" w14:paraId="779F55DD" w14:textId="463DA3F9">
      <w:pPr>
        <w:pStyle w:val="ListParagraph"/>
        <w:numPr>
          <w:ilvl w:val="0"/>
          <w:numId w:val="4"/>
        </w:numPr>
        <w:ind w:hanging="720"/>
        <w:rPr>
          <w:u w:val="single"/>
        </w:rPr>
      </w:pPr>
      <w:r w:rsidRPr="000F7AD5">
        <w:rPr>
          <w:u w:val="single"/>
        </w:rPr>
        <w:t>COMPLIANCE DEMONSTRATION</w:t>
      </w:r>
    </w:p>
    <w:p w:rsidRPr="000F7AD5" w:rsidR="00B63197" w:rsidP="00F14FEC" w:rsidRDefault="00B63197" w14:paraId="779F55DE" w14:textId="77777777"/>
    <w:p w:rsidRPr="000F7AD5" w:rsidR="00924460" w:rsidP="00F14FEC" w:rsidRDefault="00924460" w14:paraId="779F55DF" w14:textId="77777777">
      <w:pPr>
        <w:ind w:left="720"/>
      </w:pPr>
      <w:r w:rsidRPr="000F7AD5">
        <w:t xml:space="preserve">The </w:t>
      </w:r>
      <w:r w:rsidRPr="000F7AD5" w:rsidR="006345A2">
        <w:t>Permittee</w:t>
      </w:r>
      <w:r w:rsidRPr="000F7AD5" w:rsidR="00615AB5">
        <w:t xml:space="preserve"> </w:t>
      </w:r>
      <w:r w:rsidRPr="000F7AD5" w:rsidR="00056A43">
        <w:t>is subject to, and</w:t>
      </w:r>
      <w:r w:rsidRPr="000F7AD5">
        <w:t xml:space="preserve"> </w:t>
      </w:r>
      <w:r w:rsidRPr="000F7AD5" w:rsidR="00615AB5">
        <w:t xml:space="preserve">shall </w:t>
      </w:r>
      <w:r w:rsidRPr="000F7AD5">
        <w:t>comply with</w:t>
      </w:r>
      <w:r w:rsidRPr="000F7AD5" w:rsidR="00615AB5">
        <w:t>,</w:t>
      </w:r>
      <w:r w:rsidRPr="000F7AD5">
        <w:t xml:space="preserve"> the monitoring</w:t>
      </w:r>
      <w:r w:rsidRPr="000F7AD5" w:rsidR="00EE2C1A">
        <w:t>,</w:t>
      </w:r>
      <w:r w:rsidRPr="000F7AD5" w:rsidR="00817570">
        <w:t xml:space="preserve"> t</w:t>
      </w:r>
      <w:r w:rsidRPr="000F7AD5">
        <w:t>esting, record keeping, and reporting requirements as contained in Tables 3, 4, and 5:</w:t>
      </w:r>
    </w:p>
    <w:p w:rsidRPr="000F7AD5" w:rsidR="00274E14" w:rsidP="00D728D6" w:rsidRDefault="00274E14" w14:paraId="19B56BEA" w14:textId="6B6A4477"/>
    <w:p w:rsidRPr="000F7AD5" w:rsidR="007F30EC" w:rsidP="00EC771C" w:rsidRDefault="00EC771C" w14:paraId="66D166E4" w14:textId="34FC3EF8">
      <w:pPr>
        <w:jc w:val="center"/>
        <w:rPr>
          <w:b/>
          <w:bCs/>
          <w:sz w:val="28"/>
          <w:szCs w:val="28"/>
        </w:rPr>
      </w:pPr>
      <w:r w:rsidRPr="000F7AD5">
        <w:rPr>
          <w:b/>
          <w:bCs/>
          <w:sz w:val="28"/>
          <w:szCs w:val="28"/>
        </w:rPr>
        <w:t>T</w:t>
      </w:r>
      <w:r w:rsidRPr="000F7AD5" w:rsidR="002F16E2">
        <w:rPr>
          <w:b/>
          <w:bCs/>
          <w:sz w:val="28"/>
          <w:szCs w:val="28"/>
        </w:rPr>
        <w:t>able</w:t>
      </w:r>
      <w:r w:rsidRPr="000F7AD5">
        <w:rPr>
          <w:b/>
          <w:bCs/>
          <w:sz w:val="28"/>
          <w:szCs w:val="28"/>
        </w:rPr>
        <w:t xml:space="preserve"> 3</w:t>
      </w:r>
    </w:p>
    <w:tbl>
      <w:tblPr>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00" w:firstRow="0" w:lastRow="0" w:firstColumn="0" w:lastColumn="0" w:noHBand="0" w:noVBand="0"/>
      </w:tblPr>
      <w:tblGrid>
        <w:gridCol w:w="1255"/>
        <w:gridCol w:w="8928"/>
      </w:tblGrid>
      <w:tr w:rsidRPr="000F7AD5" w:rsidR="00843D5D" w:rsidTr="008C53DD" w14:paraId="669F2B17" w14:textId="77777777">
        <w:trPr>
          <w:cantSplit/>
          <w:trHeight w:val="432"/>
          <w:tblHeader/>
          <w:jc w:val="center"/>
        </w:trPr>
        <w:tc>
          <w:tcPr>
            <w:tcW w:w="1255" w:type="dxa"/>
            <w:shd w:val="clear" w:color="auto" w:fill="BFBFBF" w:themeFill="background1" w:themeFillShade="BF"/>
            <w:vAlign w:val="center"/>
          </w:tcPr>
          <w:p w:rsidRPr="000F7AD5" w:rsidR="00843D5D" w:rsidP="0099135C" w:rsidRDefault="00843D5D" w14:paraId="75C33408" w14:textId="251D6289">
            <w:pPr>
              <w:jc w:val="center"/>
              <w:rPr>
                <w:b/>
              </w:rPr>
            </w:pPr>
            <w:r w:rsidRPr="000F7AD5">
              <w:rPr>
                <w:b/>
              </w:rPr>
              <w:t>EU</w:t>
            </w:r>
          </w:p>
        </w:tc>
        <w:tc>
          <w:tcPr>
            <w:tcW w:w="8928" w:type="dxa"/>
            <w:shd w:val="clear" w:color="auto" w:fill="BFBFBF" w:themeFill="background1" w:themeFillShade="BF"/>
            <w:vAlign w:val="center"/>
          </w:tcPr>
          <w:p w:rsidRPr="000F7AD5" w:rsidR="00843D5D" w:rsidP="0099135C" w:rsidRDefault="00843D5D" w14:paraId="5CAFFD8E" w14:textId="77777777">
            <w:pPr>
              <w:keepNext/>
              <w:jc w:val="center"/>
              <w:rPr>
                <w:b/>
                <w:spacing w:val="-2"/>
              </w:rPr>
            </w:pPr>
            <w:r w:rsidRPr="000F7AD5">
              <w:rPr>
                <w:b/>
                <w:spacing w:val="-2"/>
              </w:rPr>
              <w:t>Monitoring and Testing Requirements</w:t>
            </w:r>
          </w:p>
        </w:tc>
      </w:tr>
      <w:tr w:rsidRPr="000F7AD5" w:rsidR="00AF23EA" w:rsidTr="008C53DD" w14:paraId="1682AA5D" w14:textId="77777777">
        <w:trPr>
          <w:cantSplit/>
          <w:jc w:val="center"/>
        </w:trPr>
        <w:tc>
          <w:tcPr>
            <w:tcW w:w="1255" w:type="dxa"/>
            <w:vMerge w:val="restart"/>
            <w:vAlign w:val="center"/>
          </w:tcPr>
          <w:p w:rsidRPr="000F7AD5" w:rsidR="00AF23EA" w:rsidP="00ED312E" w:rsidRDefault="00AF23EA" w14:paraId="704BFD09" w14:textId="78FF063C">
            <w:pPr>
              <w:tabs>
                <w:tab w:val="left" w:pos="1018"/>
              </w:tabs>
              <w:ind w:left="30" w:right="122"/>
              <w:jc w:val="center"/>
              <w:rPr>
                <w:sz w:val="22"/>
                <w:szCs w:val="22"/>
              </w:rPr>
            </w:pPr>
            <w:r w:rsidRPr="000F7AD5">
              <w:rPr>
                <w:sz w:val="22"/>
                <w:szCs w:val="22"/>
              </w:rPr>
              <w:t>EU1,</w:t>
            </w:r>
            <w:r w:rsidRPr="000F7AD5" w:rsidR="00ED312E">
              <w:rPr>
                <w:sz w:val="22"/>
                <w:szCs w:val="22"/>
              </w:rPr>
              <w:t xml:space="preserve"> </w:t>
            </w:r>
            <w:r w:rsidRPr="000F7AD5">
              <w:rPr>
                <w:sz w:val="22"/>
                <w:szCs w:val="22"/>
              </w:rPr>
              <w:t>EU3</w:t>
            </w:r>
          </w:p>
        </w:tc>
        <w:tc>
          <w:tcPr>
            <w:tcW w:w="8928" w:type="dxa"/>
            <w:vAlign w:val="center"/>
          </w:tcPr>
          <w:p w:rsidRPr="000F7AD5" w:rsidR="00AF23EA" w:rsidP="00F77738" w:rsidRDefault="00D51173" w14:paraId="2E3731EA" w14:textId="0945E64C">
            <w:pPr>
              <w:pStyle w:val="ListParagraph"/>
              <w:numPr>
                <w:ilvl w:val="0"/>
                <w:numId w:val="7"/>
              </w:numPr>
              <w:spacing w:before="20" w:after="80"/>
              <w:ind w:left="375" w:right="144" w:hanging="274"/>
              <w:rPr>
                <w:rFonts w:eastAsia="Calibri"/>
                <w:color w:val="000000"/>
                <w:sz w:val="22"/>
              </w:rPr>
            </w:pPr>
            <w:r w:rsidRPr="000F7AD5">
              <w:rPr>
                <w:rFonts w:eastAsia="Calibri"/>
                <w:color w:val="000000"/>
                <w:sz w:val="22"/>
              </w:rPr>
              <w:t>The Permittee shall m</w:t>
            </w:r>
            <w:r w:rsidRPr="000F7AD5" w:rsidR="00AF23EA">
              <w:rPr>
                <w:rFonts w:eastAsia="Calibri"/>
                <w:color w:val="000000"/>
                <w:sz w:val="22"/>
              </w:rPr>
              <w:t xml:space="preserve">onitor natural gas usage for the boilers on a monthly and </w:t>
            </w:r>
            <w:r w:rsidRPr="000F7AD5" w:rsidR="006D2B60">
              <w:rPr>
                <w:rFonts w:eastAsia="Calibri"/>
                <w:color w:val="000000"/>
                <w:sz w:val="22"/>
              </w:rPr>
              <w:t>twelve</w:t>
            </w:r>
            <w:r w:rsidRPr="000F7AD5" w:rsidR="00AF23EA">
              <w:rPr>
                <w:rFonts w:eastAsia="Calibri"/>
                <w:color w:val="000000"/>
                <w:sz w:val="22"/>
              </w:rPr>
              <w:t xml:space="preserve">-month rolling period (current month plus the sum of the previous eleven months).  Said monitoring shall also include a calculation of the resulting emissions from said usage so that compliance with the record keeping requirements in </w:t>
            </w:r>
            <w:r w:rsidRPr="00C53A72" w:rsidR="00AF23EA">
              <w:rPr>
                <w:rFonts w:eastAsia="Calibri"/>
                <w:color w:val="000000"/>
                <w:sz w:val="22"/>
              </w:rPr>
              <w:t>Table 4,</w:t>
            </w:r>
            <w:r w:rsidRPr="00C53A72" w:rsidR="00D24452">
              <w:rPr>
                <w:rFonts w:eastAsia="Calibri"/>
                <w:color w:val="000000"/>
                <w:sz w:val="22"/>
              </w:rPr>
              <w:t xml:space="preserve"> provis</w:t>
            </w:r>
            <w:r w:rsidRPr="00C53A72" w:rsidR="00AF23EA">
              <w:rPr>
                <w:rFonts w:eastAsia="Calibri"/>
                <w:color w:val="000000"/>
                <w:sz w:val="22"/>
              </w:rPr>
              <w:t>o</w:t>
            </w:r>
            <w:r w:rsidRPr="00C53A72" w:rsidR="009B6DAA">
              <w:rPr>
                <w:rFonts w:eastAsia="Calibri"/>
                <w:color w:val="000000"/>
                <w:sz w:val="22"/>
              </w:rPr>
              <w:t xml:space="preserve"> No.</w:t>
            </w:r>
            <w:r w:rsidRPr="00C53A72" w:rsidR="00AF23EA">
              <w:rPr>
                <w:rFonts w:eastAsia="Calibri"/>
                <w:color w:val="000000"/>
                <w:sz w:val="22"/>
              </w:rPr>
              <w:t xml:space="preserve"> 1</w:t>
            </w:r>
            <w:r w:rsidRPr="000F7AD5" w:rsidR="00AF23EA">
              <w:rPr>
                <w:rFonts w:eastAsia="Calibri"/>
                <w:color w:val="000000"/>
                <w:sz w:val="22"/>
              </w:rPr>
              <w:t xml:space="preserve"> of this Plan Approval shall be maintained.</w:t>
            </w:r>
          </w:p>
        </w:tc>
      </w:tr>
      <w:tr w:rsidRPr="000F7AD5" w:rsidR="00AF23EA" w:rsidTr="008C53DD" w14:paraId="41072010" w14:textId="77777777">
        <w:trPr>
          <w:cantSplit/>
          <w:jc w:val="center"/>
        </w:trPr>
        <w:tc>
          <w:tcPr>
            <w:tcW w:w="1255" w:type="dxa"/>
            <w:vMerge/>
            <w:vAlign w:val="center"/>
          </w:tcPr>
          <w:p w:rsidRPr="000F7AD5" w:rsidR="00AF23EA" w:rsidP="006C2B53" w:rsidRDefault="00AF23EA" w14:paraId="4BDAD648" w14:textId="77777777">
            <w:pPr>
              <w:tabs>
                <w:tab w:val="left" w:pos="932"/>
              </w:tabs>
              <w:ind w:left="114" w:right="122"/>
              <w:jc w:val="center"/>
              <w:rPr>
                <w:sz w:val="22"/>
                <w:szCs w:val="22"/>
              </w:rPr>
            </w:pPr>
          </w:p>
        </w:tc>
        <w:tc>
          <w:tcPr>
            <w:tcW w:w="8928" w:type="dxa"/>
            <w:vAlign w:val="center"/>
          </w:tcPr>
          <w:p w:rsidRPr="000F7AD5" w:rsidR="00AF23EA" w:rsidP="00F77738" w:rsidRDefault="00D51173" w14:paraId="255B7794" w14:textId="5B29675E">
            <w:pPr>
              <w:pStyle w:val="ListParagraph"/>
              <w:numPr>
                <w:ilvl w:val="0"/>
                <w:numId w:val="7"/>
              </w:numPr>
              <w:spacing w:before="20" w:after="80"/>
              <w:ind w:left="375" w:right="144" w:hanging="274"/>
              <w:rPr>
                <w:rFonts w:eastAsia="Calibri"/>
                <w:color w:val="000000"/>
                <w:sz w:val="22"/>
              </w:rPr>
            </w:pPr>
            <w:r w:rsidRPr="000F7AD5">
              <w:rPr>
                <w:rFonts w:eastAsia="Calibri"/>
                <w:color w:val="000000"/>
                <w:sz w:val="22"/>
              </w:rPr>
              <w:t>The Permittee shall m</w:t>
            </w:r>
            <w:r w:rsidRPr="000F7AD5" w:rsidR="00AF23EA">
              <w:rPr>
                <w:rFonts w:eastAsia="Calibri"/>
                <w:color w:val="000000"/>
                <w:sz w:val="22"/>
              </w:rPr>
              <w:t>onitor unit operations to ensure continuous compliance with the particulate matter emission limits contained in Table 2 of this Plan Approval.</w:t>
            </w:r>
          </w:p>
        </w:tc>
      </w:tr>
      <w:tr w:rsidRPr="000F7AD5" w:rsidR="00AF23EA" w:rsidTr="008C53DD" w14:paraId="4E62FAB0" w14:textId="77777777">
        <w:trPr>
          <w:cantSplit/>
          <w:jc w:val="center"/>
        </w:trPr>
        <w:tc>
          <w:tcPr>
            <w:tcW w:w="1255" w:type="dxa"/>
            <w:vMerge/>
            <w:vAlign w:val="center"/>
          </w:tcPr>
          <w:p w:rsidRPr="000F7AD5" w:rsidR="00AF23EA" w:rsidP="006C2B53" w:rsidRDefault="00AF23EA" w14:paraId="69581FCB" w14:textId="34DFBA51">
            <w:pPr>
              <w:tabs>
                <w:tab w:val="left" w:pos="932"/>
              </w:tabs>
              <w:ind w:left="114" w:right="122"/>
              <w:jc w:val="center"/>
              <w:rPr>
                <w:sz w:val="22"/>
                <w:szCs w:val="22"/>
              </w:rPr>
            </w:pPr>
          </w:p>
        </w:tc>
        <w:tc>
          <w:tcPr>
            <w:tcW w:w="8928" w:type="dxa"/>
            <w:vAlign w:val="center"/>
          </w:tcPr>
          <w:p w:rsidRPr="000F7AD5" w:rsidR="00AF23EA" w:rsidP="00FB48AB" w:rsidRDefault="00D51173" w14:paraId="74C89758" w14:textId="452C2059">
            <w:pPr>
              <w:pStyle w:val="ListParagraph"/>
              <w:numPr>
                <w:ilvl w:val="0"/>
                <w:numId w:val="7"/>
              </w:numPr>
              <w:spacing w:before="20" w:after="80"/>
              <w:ind w:left="396" w:right="216" w:hanging="270"/>
              <w:rPr>
                <w:sz w:val="22"/>
              </w:rPr>
            </w:pPr>
            <w:r w:rsidRPr="000F7AD5">
              <w:rPr>
                <w:sz w:val="22"/>
              </w:rPr>
              <w:t>The Permittee shall i</w:t>
            </w:r>
            <w:r w:rsidRPr="000F7AD5" w:rsidR="00AF23EA">
              <w:rPr>
                <w:sz w:val="22"/>
              </w:rPr>
              <w:t xml:space="preserve">nspect and maintain any fuel utilization facility, having an energy input capacity </w:t>
            </w:r>
            <w:r w:rsidRPr="000F7AD5" w:rsidR="007A4300">
              <w:rPr>
                <w:sz w:val="22"/>
              </w:rPr>
              <w:t xml:space="preserve">of </w:t>
            </w:r>
            <w:r w:rsidR="009C6556">
              <w:rPr>
                <w:rFonts w:cs="Times New Roman"/>
                <w:sz w:val="22"/>
              </w:rPr>
              <w:t>≥</w:t>
            </w:r>
            <w:r w:rsidRPr="000F7AD5" w:rsidR="00AF23EA">
              <w:rPr>
                <w:sz w:val="22"/>
              </w:rPr>
              <w:t xml:space="preserve"> 3 MMBtu per hour in accordance with manufacturer's recommendations and test for efficient operation at least once in each calendar year as prov</w:t>
            </w:r>
            <w:r w:rsidRPr="008F6308" w:rsidR="00AF23EA">
              <w:rPr>
                <w:sz w:val="22"/>
              </w:rPr>
              <w:t>ided in 310 CMR 7.04(4)(a) incorporated</w:t>
            </w:r>
            <w:r w:rsidRPr="000F7AD5" w:rsidR="00AF23EA">
              <w:rPr>
                <w:sz w:val="22"/>
              </w:rPr>
              <w:t xml:space="preserve"> herein by reference.</w:t>
            </w:r>
          </w:p>
        </w:tc>
      </w:tr>
      <w:tr w:rsidRPr="000F7AD5" w:rsidR="00CC604D" w:rsidTr="008C53DD" w14:paraId="096CD913" w14:textId="77777777">
        <w:trPr>
          <w:cantSplit/>
          <w:jc w:val="center"/>
        </w:trPr>
        <w:tc>
          <w:tcPr>
            <w:tcW w:w="1255" w:type="dxa"/>
            <w:vAlign w:val="center"/>
          </w:tcPr>
          <w:p w:rsidRPr="000F7AD5" w:rsidR="00CC604D" w:rsidP="00CB1005" w:rsidRDefault="00A94499" w14:paraId="554CE0D7" w14:textId="1BC8B411">
            <w:pPr>
              <w:tabs>
                <w:tab w:val="left" w:pos="932"/>
              </w:tabs>
              <w:ind w:left="114" w:right="122"/>
              <w:jc w:val="center"/>
              <w:rPr>
                <w:sz w:val="22"/>
                <w:szCs w:val="22"/>
              </w:rPr>
            </w:pPr>
            <w:r w:rsidRPr="000F7AD5">
              <w:rPr>
                <w:sz w:val="22"/>
                <w:szCs w:val="22"/>
              </w:rPr>
              <w:t>EU5</w:t>
            </w:r>
          </w:p>
        </w:tc>
        <w:tc>
          <w:tcPr>
            <w:tcW w:w="8928" w:type="dxa"/>
            <w:vAlign w:val="center"/>
          </w:tcPr>
          <w:p w:rsidRPr="000F7AD5" w:rsidR="00CC604D" w:rsidP="007E5523" w:rsidRDefault="009B6DAA" w14:paraId="015A8A00" w14:textId="6113A536">
            <w:pPr>
              <w:pStyle w:val="ListParagraph"/>
              <w:numPr>
                <w:ilvl w:val="0"/>
                <w:numId w:val="7"/>
              </w:numPr>
              <w:spacing w:before="20" w:after="80"/>
              <w:ind w:left="375" w:right="144" w:hanging="274"/>
              <w:rPr>
                <w:sz w:val="22"/>
              </w:rPr>
            </w:pPr>
            <w:r w:rsidRPr="000F7AD5">
              <w:rPr>
                <w:sz w:val="22"/>
              </w:rPr>
              <w:t>The Permittee shall m</w:t>
            </w:r>
            <w:r w:rsidRPr="000F7AD5" w:rsidR="008B0BDA">
              <w:rPr>
                <w:sz w:val="22"/>
              </w:rPr>
              <w:t xml:space="preserve">onitor monthly records to demonstrate that the VOC and </w:t>
            </w:r>
            <w:r w:rsidR="00034611">
              <w:rPr>
                <w:sz w:val="22"/>
              </w:rPr>
              <w:t xml:space="preserve">single and total </w:t>
            </w:r>
            <w:r w:rsidRPr="000F7AD5" w:rsidR="008B0BDA">
              <w:rPr>
                <w:sz w:val="22"/>
              </w:rPr>
              <w:t xml:space="preserve">HAP emissions do not exceed the emission levels specified in Table 2 of this Plan Approval.  At a minimum, the information shall include a list of the VOC-containing materials and HAP-containing materials used during the month, the VOC content of each material, and the actual emissions of VOC and </w:t>
            </w:r>
            <w:r w:rsidRPr="00210A48" w:rsidR="00210A48">
              <w:rPr>
                <w:sz w:val="22"/>
              </w:rPr>
              <w:t xml:space="preserve">single and total </w:t>
            </w:r>
            <w:r w:rsidRPr="000F7AD5" w:rsidR="008B0BDA">
              <w:rPr>
                <w:sz w:val="22"/>
              </w:rPr>
              <w:t>HAP</w:t>
            </w:r>
            <w:r w:rsidR="002C4C0D">
              <w:rPr>
                <w:sz w:val="22"/>
              </w:rPr>
              <w:t>s</w:t>
            </w:r>
            <w:r w:rsidRPr="000F7AD5" w:rsidR="008B0BDA">
              <w:rPr>
                <w:sz w:val="22"/>
              </w:rPr>
              <w:t xml:space="preserve"> for the month as well as the prior 11 months.</w:t>
            </w:r>
          </w:p>
        </w:tc>
      </w:tr>
      <w:tr w:rsidRPr="000F7AD5" w:rsidR="00DE729B" w:rsidTr="008C53DD" w14:paraId="0E611F99" w14:textId="77777777">
        <w:trPr>
          <w:cantSplit/>
          <w:jc w:val="center"/>
        </w:trPr>
        <w:tc>
          <w:tcPr>
            <w:tcW w:w="1255" w:type="dxa"/>
            <w:vAlign w:val="center"/>
          </w:tcPr>
          <w:p w:rsidRPr="00453AAF" w:rsidR="00DE729B" w:rsidP="006C2B53" w:rsidRDefault="00DE729B" w14:paraId="0A8D418D" w14:textId="5B7C29BA">
            <w:pPr>
              <w:tabs>
                <w:tab w:val="left" w:pos="932"/>
              </w:tabs>
              <w:ind w:left="114" w:right="122"/>
              <w:jc w:val="center"/>
              <w:rPr>
                <w:sz w:val="22"/>
                <w:szCs w:val="22"/>
                <w:lang w:val="pt-BR"/>
              </w:rPr>
            </w:pPr>
            <w:r w:rsidRPr="00453AAF">
              <w:rPr>
                <w:sz w:val="22"/>
                <w:szCs w:val="22"/>
                <w:lang w:val="pt-BR"/>
              </w:rPr>
              <w:t xml:space="preserve">EU5, EU10, </w:t>
            </w:r>
            <w:r w:rsidRPr="00453AAF" w:rsidR="00AF2C1C">
              <w:rPr>
                <w:sz w:val="22"/>
                <w:szCs w:val="22"/>
                <w:lang w:val="pt-BR"/>
              </w:rPr>
              <w:t>E</w:t>
            </w:r>
            <w:r w:rsidRPr="00453AAF">
              <w:rPr>
                <w:sz w:val="22"/>
                <w:szCs w:val="22"/>
                <w:lang w:val="pt-BR"/>
              </w:rPr>
              <w:t>U12, EU17, EU19, EU25, EU26</w:t>
            </w:r>
            <w:r w:rsidRPr="00453AAF" w:rsidR="00867DB8">
              <w:rPr>
                <w:sz w:val="22"/>
                <w:szCs w:val="22"/>
                <w:lang w:val="pt-BR"/>
              </w:rPr>
              <w:t>, EU27, EU28, EU29</w:t>
            </w:r>
          </w:p>
        </w:tc>
        <w:tc>
          <w:tcPr>
            <w:tcW w:w="8928" w:type="dxa"/>
            <w:vAlign w:val="center"/>
          </w:tcPr>
          <w:p w:rsidRPr="000F7AD5" w:rsidR="00DE729B" w:rsidP="00112EC5" w:rsidRDefault="009B6DAA" w14:paraId="68187C30" w14:textId="5FE6098B">
            <w:pPr>
              <w:pStyle w:val="ListParagraph"/>
              <w:numPr>
                <w:ilvl w:val="0"/>
                <w:numId w:val="7"/>
              </w:numPr>
              <w:spacing w:before="20" w:after="80"/>
              <w:ind w:left="406" w:right="144" w:hanging="274"/>
              <w:rPr>
                <w:rFonts w:eastAsia="Calibri"/>
                <w:color w:val="000000"/>
                <w:sz w:val="22"/>
              </w:rPr>
            </w:pPr>
            <w:r w:rsidRPr="000F7AD5">
              <w:rPr>
                <w:spacing w:val="-2"/>
                <w:sz w:val="22"/>
              </w:rPr>
              <w:t>The Permittee shall monitor</w:t>
            </w:r>
            <w:r w:rsidRPr="000F7AD5" w:rsidR="00DE729B">
              <w:rPr>
                <w:spacing w:val="-2"/>
                <w:sz w:val="22"/>
              </w:rPr>
              <w:t xml:space="preserve"> facility operations such that compliance with the restrictions and emission limitations/standards contained in Table 2 of this </w:t>
            </w:r>
            <w:r w:rsidRPr="000F7AD5" w:rsidR="00DE729B">
              <w:rPr>
                <w:sz w:val="22"/>
              </w:rPr>
              <w:t>Plan Approval</w:t>
            </w:r>
            <w:r w:rsidRPr="000F7AD5" w:rsidR="00DE729B">
              <w:rPr>
                <w:spacing w:val="-2"/>
                <w:sz w:val="22"/>
              </w:rPr>
              <w:t xml:space="preserve"> can be determined</w:t>
            </w:r>
            <w:r w:rsidRPr="000F7AD5" w:rsidR="00DE729B">
              <w:rPr>
                <w:spacing w:val="-3"/>
                <w:sz w:val="22"/>
              </w:rPr>
              <w:t>.</w:t>
            </w:r>
          </w:p>
        </w:tc>
      </w:tr>
      <w:tr w:rsidRPr="000F7AD5" w:rsidR="00C73AC3" w:rsidTr="008C53DD" w14:paraId="0310DBB2" w14:textId="77777777">
        <w:trPr>
          <w:cantSplit/>
          <w:trHeight w:val="786"/>
          <w:jc w:val="center"/>
        </w:trPr>
        <w:tc>
          <w:tcPr>
            <w:tcW w:w="1255" w:type="dxa"/>
            <w:vAlign w:val="center"/>
          </w:tcPr>
          <w:p w:rsidRPr="000F7AD5" w:rsidR="00C73AC3" w:rsidP="004D2AF2" w:rsidRDefault="00C73AC3" w14:paraId="17B8F920" w14:textId="5690EAE5">
            <w:pPr>
              <w:tabs>
                <w:tab w:val="left" w:pos="-720"/>
              </w:tabs>
              <w:suppressAutoHyphens/>
              <w:jc w:val="center"/>
              <w:rPr>
                <w:sz w:val="22"/>
                <w:szCs w:val="22"/>
              </w:rPr>
            </w:pPr>
            <w:r w:rsidRPr="000F7AD5">
              <w:rPr>
                <w:sz w:val="22"/>
                <w:szCs w:val="22"/>
              </w:rPr>
              <w:t>EU12</w:t>
            </w:r>
          </w:p>
        </w:tc>
        <w:tc>
          <w:tcPr>
            <w:tcW w:w="8928" w:type="dxa"/>
            <w:tcBorders>
              <w:top w:val="single" w:color="auto" w:sz="4" w:space="0"/>
              <w:left w:val="single" w:color="auto" w:sz="4" w:space="0"/>
              <w:bottom w:val="single" w:color="auto" w:sz="4" w:space="0"/>
              <w:right w:val="single" w:color="auto" w:sz="4" w:space="0"/>
            </w:tcBorders>
            <w:vAlign w:val="center"/>
          </w:tcPr>
          <w:p w:rsidRPr="009C6556" w:rsidR="00C73AC3" w:rsidP="004270A1" w:rsidRDefault="00C73AC3" w14:paraId="2E3A064F" w14:textId="0FF61ABC">
            <w:pPr>
              <w:pStyle w:val="ListParagraph"/>
              <w:numPr>
                <w:ilvl w:val="0"/>
                <w:numId w:val="7"/>
              </w:numPr>
              <w:tabs>
                <w:tab w:val="left" w:pos="932"/>
              </w:tabs>
              <w:ind w:right="122"/>
              <w:rPr>
                <w:sz w:val="22"/>
              </w:rPr>
            </w:pPr>
            <w:r w:rsidRPr="009C6556">
              <w:rPr>
                <w:sz w:val="22"/>
              </w:rPr>
              <w:t xml:space="preserve">The Permittee shall monitor operations so that new Tank Farm operators are taught the Propellant Tank Farm Emission Minimization Program within the first week of a new Tank Farm operator’s hiring/transfer, whenever a new person is assigned to the Tank Farm for a period of longer than one month. </w:t>
            </w:r>
          </w:p>
        </w:tc>
      </w:tr>
      <w:tr w:rsidRPr="000F7AD5" w:rsidR="00BB4123" w:rsidTr="008C53DD" w14:paraId="79C79397" w14:textId="77777777">
        <w:trPr>
          <w:cantSplit/>
          <w:trHeight w:val="786"/>
          <w:jc w:val="center"/>
        </w:trPr>
        <w:tc>
          <w:tcPr>
            <w:tcW w:w="1255" w:type="dxa"/>
            <w:vMerge w:val="restart"/>
            <w:vAlign w:val="center"/>
          </w:tcPr>
          <w:p w:rsidRPr="000F7AD5" w:rsidR="00BB4123" w:rsidP="006C2B53" w:rsidRDefault="00BB4123" w14:paraId="38C8EAB8" w14:textId="69941B82">
            <w:pPr>
              <w:tabs>
                <w:tab w:val="left" w:pos="-720"/>
              </w:tabs>
              <w:suppressAutoHyphens/>
              <w:jc w:val="center"/>
              <w:rPr>
                <w:sz w:val="22"/>
                <w:szCs w:val="22"/>
              </w:rPr>
            </w:pPr>
            <w:r>
              <w:rPr>
                <w:sz w:val="22"/>
                <w:szCs w:val="22"/>
              </w:rPr>
              <w:t>EU12</w:t>
            </w:r>
          </w:p>
        </w:tc>
        <w:tc>
          <w:tcPr>
            <w:tcW w:w="8928" w:type="dxa"/>
            <w:tcBorders>
              <w:top w:val="single" w:color="auto" w:sz="4" w:space="0"/>
              <w:left w:val="single" w:color="auto" w:sz="4" w:space="0"/>
              <w:bottom w:val="single" w:color="auto" w:sz="4" w:space="0"/>
              <w:right w:val="single" w:color="auto" w:sz="4" w:space="0"/>
            </w:tcBorders>
            <w:vAlign w:val="center"/>
          </w:tcPr>
          <w:p w:rsidRPr="009C6556" w:rsidR="00BB4123" w:rsidP="004270A1" w:rsidRDefault="00BB4123" w14:paraId="0EE17163" w14:textId="7C5BCC77">
            <w:pPr>
              <w:pStyle w:val="ListParagraph"/>
              <w:numPr>
                <w:ilvl w:val="0"/>
                <w:numId w:val="7"/>
              </w:numPr>
              <w:tabs>
                <w:tab w:val="left" w:pos="932"/>
              </w:tabs>
              <w:ind w:right="122"/>
              <w:rPr>
                <w:sz w:val="22"/>
              </w:rPr>
            </w:pPr>
            <w:r w:rsidRPr="009C6556">
              <w:rPr>
                <w:sz w:val="22"/>
              </w:rPr>
              <w:t xml:space="preserve">As part of its Tank Farm Leak Detection and Repair Program (TFLDRP), which includes propellant emission sources, the Permittee shall inspect all components of the Tank Farm and outdoor piping on a semi-annual basis. </w:t>
            </w:r>
          </w:p>
        </w:tc>
      </w:tr>
      <w:tr w:rsidRPr="000F7AD5" w:rsidR="00BB4123" w:rsidTr="008C53DD" w14:paraId="7C907FCC" w14:textId="77777777">
        <w:trPr>
          <w:cantSplit/>
          <w:trHeight w:val="786"/>
          <w:jc w:val="center"/>
        </w:trPr>
        <w:tc>
          <w:tcPr>
            <w:tcW w:w="1255" w:type="dxa"/>
            <w:vMerge/>
            <w:vAlign w:val="center"/>
          </w:tcPr>
          <w:p w:rsidRPr="000F7AD5" w:rsidR="00BB4123" w:rsidP="006C2B53" w:rsidRDefault="00BB4123" w14:paraId="787603A2" w14:textId="77777777">
            <w:pPr>
              <w:tabs>
                <w:tab w:val="left" w:pos="-720"/>
              </w:tabs>
              <w:suppressAutoHyphens/>
              <w:jc w:val="center"/>
              <w:rPr>
                <w:strike/>
                <w:sz w:val="22"/>
                <w:szCs w:val="22"/>
              </w:rPr>
            </w:pP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BB4123" w:rsidP="004270A1" w:rsidRDefault="00BB4123" w14:paraId="726A8C2D" w14:textId="413C8DF0">
            <w:pPr>
              <w:pStyle w:val="ListParagraph"/>
              <w:numPr>
                <w:ilvl w:val="0"/>
                <w:numId w:val="7"/>
              </w:numPr>
              <w:tabs>
                <w:tab w:val="left" w:pos="932"/>
              </w:tabs>
              <w:ind w:right="122"/>
              <w:rPr>
                <w:sz w:val="22"/>
              </w:rPr>
            </w:pPr>
            <w:r w:rsidRPr="000F7AD5">
              <w:rPr>
                <w:sz w:val="22"/>
              </w:rPr>
              <w:t xml:space="preserve">The Tank Farm operator shall monitor information about each tank truck delivery, including the date, propellant type, and the operator's initials.  The Tank Farm </w:t>
            </w:r>
            <w:r w:rsidRPr="009C6556">
              <w:rPr>
                <w:sz w:val="22"/>
              </w:rPr>
              <w:t>operator shall monitor</w:t>
            </w:r>
            <w:r w:rsidRPr="000F7AD5">
              <w:rPr>
                <w:sz w:val="22"/>
              </w:rPr>
              <w:t xml:space="preserve"> emissions from each tank maintenance/inspection activity. </w:t>
            </w:r>
          </w:p>
        </w:tc>
      </w:tr>
      <w:tr w:rsidRPr="000F7AD5" w:rsidR="00BB4123" w:rsidTr="00403FDE" w14:paraId="0C317EF5" w14:textId="77777777">
        <w:trPr>
          <w:cantSplit/>
          <w:trHeight w:val="786"/>
          <w:jc w:val="center"/>
        </w:trPr>
        <w:tc>
          <w:tcPr>
            <w:tcW w:w="1255" w:type="dxa"/>
            <w:vMerge/>
            <w:vAlign w:val="center"/>
          </w:tcPr>
          <w:p w:rsidRPr="000F7AD5" w:rsidR="00BB4123" w:rsidP="006C2B53" w:rsidRDefault="00BB4123" w14:paraId="75CC2C49" w14:textId="77777777">
            <w:pPr>
              <w:tabs>
                <w:tab w:val="left" w:pos="-720"/>
              </w:tabs>
              <w:suppressAutoHyphens/>
              <w:jc w:val="center"/>
              <w:rPr>
                <w:strike/>
                <w:sz w:val="22"/>
                <w:szCs w:val="22"/>
              </w:rPr>
            </w:pPr>
          </w:p>
        </w:tc>
        <w:tc>
          <w:tcPr>
            <w:tcW w:w="8928" w:type="dxa"/>
            <w:tcBorders>
              <w:top w:val="single" w:color="auto" w:sz="4" w:space="0"/>
              <w:left w:val="single" w:color="auto" w:sz="4" w:space="0"/>
              <w:bottom w:val="single" w:color="auto" w:sz="4" w:space="0"/>
              <w:right w:val="single" w:color="auto" w:sz="4" w:space="0"/>
            </w:tcBorders>
            <w:shd w:val="clear" w:color="auto" w:fill="auto"/>
            <w:vAlign w:val="center"/>
          </w:tcPr>
          <w:p w:rsidRPr="000F7AD5" w:rsidR="00BB4123" w:rsidP="004270A1" w:rsidRDefault="00BB4123" w14:paraId="34CBDEDC" w14:textId="138D335C">
            <w:pPr>
              <w:pStyle w:val="ListParagraph"/>
              <w:numPr>
                <w:ilvl w:val="0"/>
                <w:numId w:val="7"/>
              </w:numPr>
              <w:tabs>
                <w:tab w:val="left" w:pos="932"/>
              </w:tabs>
              <w:ind w:right="122"/>
              <w:rPr>
                <w:sz w:val="22"/>
              </w:rPr>
            </w:pPr>
            <w:r w:rsidRPr="00403FDE">
              <w:rPr>
                <w:sz w:val="22"/>
              </w:rPr>
              <w:t>The Permittee shall monitor tank farm emissions from miscellaneous tanker truck hose disconnects and from maintenance and inspection activities.</w:t>
            </w:r>
            <w:r w:rsidRPr="000F7AD5">
              <w:rPr>
                <w:sz w:val="22"/>
              </w:rPr>
              <w:t xml:space="preserve">  </w:t>
            </w:r>
          </w:p>
        </w:tc>
      </w:tr>
      <w:tr w:rsidRPr="000F7AD5" w:rsidR="008C53DD" w:rsidTr="008C53DD" w14:paraId="0743EA61" w14:textId="77777777">
        <w:trPr>
          <w:cantSplit/>
          <w:trHeight w:val="786"/>
          <w:jc w:val="center"/>
        </w:trPr>
        <w:tc>
          <w:tcPr>
            <w:tcW w:w="1255" w:type="dxa"/>
            <w:vAlign w:val="center"/>
          </w:tcPr>
          <w:p w:rsidRPr="000F7AD5" w:rsidR="000A6666" w:rsidP="00ED312E" w:rsidRDefault="000A6666" w14:paraId="2D7F136F" w14:textId="31798D8E">
            <w:pPr>
              <w:tabs>
                <w:tab w:val="left" w:pos="-720"/>
              </w:tabs>
              <w:suppressAutoHyphens/>
              <w:ind w:left="-60"/>
              <w:jc w:val="center"/>
              <w:rPr>
                <w:sz w:val="22"/>
                <w:szCs w:val="22"/>
              </w:rPr>
            </w:pPr>
            <w:r w:rsidRPr="000F7AD5">
              <w:rPr>
                <w:sz w:val="22"/>
                <w:szCs w:val="22"/>
              </w:rPr>
              <w:t>EU13, EU14</w:t>
            </w:r>
            <w:r w:rsidRPr="000F7AD5" w:rsidR="00E55E4B">
              <w:rPr>
                <w:sz w:val="22"/>
                <w:szCs w:val="22"/>
              </w:rPr>
              <w:t xml:space="preserve">, </w:t>
            </w:r>
            <w:r w:rsidRPr="000F7AD5">
              <w:rPr>
                <w:sz w:val="22"/>
                <w:szCs w:val="22"/>
              </w:rPr>
              <w:t>EU23, EU24</w:t>
            </w: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0A6666" w:rsidP="004270A1" w:rsidRDefault="00E862F4" w14:paraId="7F19439D" w14:textId="1B483854">
            <w:pPr>
              <w:pStyle w:val="ListParagraph"/>
              <w:numPr>
                <w:ilvl w:val="0"/>
                <w:numId w:val="7"/>
              </w:numPr>
              <w:tabs>
                <w:tab w:val="left" w:pos="932"/>
              </w:tabs>
              <w:ind w:right="122"/>
              <w:rPr>
                <w:sz w:val="22"/>
              </w:rPr>
            </w:pPr>
            <w:r w:rsidRPr="000F7AD5">
              <w:rPr>
                <w:sz w:val="22"/>
              </w:rPr>
              <w:t>The Permittee shall monitor</w:t>
            </w:r>
            <w:r w:rsidRPr="000F7AD5" w:rsidR="000A6666">
              <w:rPr>
                <w:sz w:val="22"/>
              </w:rPr>
              <w:t xml:space="preserve"> fuel consumption for the fire pumps and emergency engines on a monthly and twelve-month rolling period (current month plus the sum of the previous eleven months). Said monitoring shall also include the sulfur content of the fuel oil used and a calculation of the resulting emissions from said usage.</w:t>
            </w:r>
          </w:p>
        </w:tc>
      </w:tr>
      <w:tr w:rsidRPr="000F7AD5" w:rsidR="00A00D0C" w:rsidTr="008C53DD" w14:paraId="305BE38E" w14:textId="77777777">
        <w:trPr>
          <w:cantSplit/>
          <w:trHeight w:val="786"/>
          <w:jc w:val="center"/>
        </w:trPr>
        <w:tc>
          <w:tcPr>
            <w:tcW w:w="1255" w:type="dxa"/>
            <w:vMerge w:val="restart"/>
            <w:vAlign w:val="center"/>
          </w:tcPr>
          <w:p w:rsidRPr="00453AAF" w:rsidR="00A00D0C" w:rsidP="00ED312E" w:rsidRDefault="00A00D0C" w14:paraId="6E45F5ED" w14:textId="4EF8F610">
            <w:pPr>
              <w:tabs>
                <w:tab w:val="left" w:pos="-720"/>
              </w:tabs>
              <w:suppressAutoHyphens/>
              <w:ind w:left="-60"/>
              <w:jc w:val="center"/>
              <w:rPr>
                <w:sz w:val="22"/>
                <w:szCs w:val="22"/>
                <w:lang w:val="pt-BR"/>
              </w:rPr>
            </w:pPr>
            <w:r w:rsidRPr="00453AAF">
              <w:rPr>
                <w:sz w:val="22"/>
                <w:szCs w:val="22"/>
                <w:lang w:val="pt-BR"/>
              </w:rPr>
              <w:t>EU1, EU3, EU13, EU14, EU23, EU24</w:t>
            </w: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A00D0C" w:rsidP="005B4624" w:rsidRDefault="00A00D0C" w14:paraId="0CF86589" w14:textId="486F72F5">
            <w:pPr>
              <w:pStyle w:val="ListParagraph"/>
              <w:numPr>
                <w:ilvl w:val="0"/>
                <w:numId w:val="7"/>
              </w:numPr>
              <w:tabs>
                <w:tab w:val="left" w:pos="932"/>
              </w:tabs>
              <w:ind w:right="122"/>
              <w:rPr>
                <w:sz w:val="22"/>
              </w:rPr>
            </w:pPr>
            <w:r w:rsidRPr="000F7AD5">
              <w:rPr>
                <w:sz w:val="22"/>
              </w:rPr>
              <w:t xml:space="preserve">The Permittee shall monitor that fuel purchase receipts are kept for each unit. </w:t>
            </w:r>
          </w:p>
        </w:tc>
      </w:tr>
      <w:tr w:rsidRPr="000F7AD5" w:rsidR="00A00D0C" w:rsidTr="008C53DD" w14:paraId="45E2B94F" w14:textId="77777777">
        <w:trPr>
          <w:cantSplit/>
          <w:trHeight w:val="786"/>
          <w:jc w:val="center"/>
        </w:trPr>
        <w:tc>
          <w:tcPr>
            <w:tcW w:w="1255" w:type="dxa"/>
            <w:vMerge/>
            <w:vAlign w:val="center"/>
          </w:tcPr>
          <w:p w:rsidRPr="000F7AD5" w:rsidR="00A00D0C" w:rsidP="00A60EAA" w:rsidRDefault="00A00D0C" w14:paraId="50358D8F" w14:textId="77777777">
            <w:pPr>
              <w:tabs>
                <w:tab w:val="left" w:pos="-720"/>
              </w:tabs>
              <w:suppressAutoHyphens/>
              <w:jc w:val="center"/>
              <w:rPr>
                <w:sz w:val="22"/>
                <w:szCs w:val="22"/>
              </w:rPr>
            </w:pP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A00D0C" w:rsidP="005B4624" w:rsidRDefault="00A00D0C" w14:paraId="31849206" w14:textId="01F9BC2E">
            <w:pPr>
              <w:pStyle w:val="ListParagraph"/>
              <w:numPr>
                <w:ilvl w:val="0"/>
                <w:numId w:val="7"/>
              </w:numPr>
              <w:tabs>
                <w:tab w:val="left" w:pos="932"/>
              </w:tabs>
              <w:ind w:right="122"/>
              <w:rPr>
                <w:sz w:val="22"/>
              </w:rPr>
            </w:pPr>
            <w:r w:rsidRPr="000F7AD5">
              <w:rPr>
                <w:sz w:val="22"/>
              </w:rPr>
              <w:t>Equipment or emissions monitoring systems used for the purposes of documenting compliance with restrictions/emission limits in Table 2 of this Plan Approval shall be calibrated, maintained, and operated in sufficient manner to ensure continuous and accurate operation at all times.</w:t>
            </w:r>
          </w:p>
        </w:tc>
      </w:tr>
      <w:tr w:rsidRPr="000F7AD5" w:rsidR="009205FE" w:rsidTr="00BB4123" w14:paraId="4564582A" w14:textId="77777777">
        <w:trPr>
          <w:cantSplit/>
          <w:trHeight w:val="156"/>
          <w:jc w:val="center"/>
        </w:trPr>
        <w:tc>
          <w:tcPr>
            <w:tcW w:w="1255" w:type="dxa"/>
            <w:vMerge w:val="restart"/>
            <w:vAlign w:val="center"/>
          </w:tcPr>
          <w:p w:rsidRPr="00403FDE" w:rsidR="009205FE" w:rsidP="00A60EAA" w:rsidRDefault="009205FE" w14:paraId="691C69CC" w14:textId="596A1835">
            <w:pPr>
              <w:tabs>
                <w:tab w:val="left" w:pos="-720"/>
              </w:tabs>
              <w:suppressAutoHyphens/>
              <w:jc w:val="center"/>
              <w:rPr>
                <w:sz w:val="22"/>
                <w:szCs w:val="22"/>
              </w:rPr>
            </w:pPr>
            <w:r w:rsidRPr="00403FDE">
              <w:rPr>
                <w:sz w:val="22"/>
                <w:szCs w:val="22"/>
              </w:rPr>
              <w:t>EU25</w:t>
            </w:r>
          </w:p>
        </w:tc>
        <w:tc>
          <w:tcPr>
            <w:tcW w:w="8928" w:type="dxa"/>
            <w:tcBorders>
              <w:top w:val="single" w:color="auto" w:sz="4" w:space="0"/>
              <w:left w:val="single" w:color="auto" w:sz="4" w:space="0"/>
              <w:bottom w:val="single" w:color="auto" w:sz="4" w:space="0"/>
              <w:right w:val="single" w:color="auto" w:sz="4" w:space="0"/>
            </w:tcBorders>
            <w:vAlign w:val="center"/>
          </w:tcPr>
          <w:p w:rsidRPr="00403FDE" w:rsidR="009205FE" w:rsidP="005B4624" w:rsidRDefault="009205FE" w14:paraId="02139C6B" w14:textId="51BDB2C8">
            <w:pPr>
              <w:pStyle w:val="ListParagraph"/>
              <w:numPr>
                <w:ilvl w:val="0"/>
                <w:numId w:val="7"/>
              </w:numPr>
              <w:tabs>
                <w:tab w:val="left" w:pos="932"/>
              </w:tabs>
              <w:ind w:right="122"/>
              <w:rPr>
                <w:sz w:val="22"/>
              </w:rPr>
            </w:pPr>
            <w:r w:rsidRPr="00403FDE">
              <w:rPr>
                <w:sz w:val="22"/>
              </w:rPr>
              <w:t>The Permittee shall monitor that seal-less booster pumps are being utilized.</w:t>
            </w:r>
          </w:p>
        </w:tc>
      </w:tr>
      <w:tr w:rsidRPr="000F7AD5" w:rsidR="009205FE" w:rsidTr="008C53DD" w14:paraId="3BAE85BB" w14:textId="77777777">
        <w:trPr>
          <w:cantSplit/>
          <w:trHeight w:val="156"/>
          <w:jc w:val="center"/>
        </w:trPr>
        <w:tc>
          <w:tcPr>
            <w:tcW w:w="1255" w:type="dxa"/>
            <w:vMerge/>
            <w:vAlign w:val="center"/>
          </w:tcPr>
          <w:p w:rsidRPr="00403FDE" w:rsidR="009205FE" w:rsidP="00A60EAA" w:rsidRDefault="009205FE" w14:paraId="0B1299D7" w14:textId="2E779E28">
            <w:pPr>
              <w:tabs>
                <w:tab w:val="left" w:pos="-720"/>
              </w:tabs>
              <w:suppressAutoHyphens/>
              <w:jc w:val="center"/>
              <w:rPr>
                <w:sz w:val="22"/>
                <w:szCs w:val="22"/>
              </w:rPr>
            </w:pPr>
          </w:p>
        </w:tc>
        <w:tc>
          <w:tcPr>
            <w:tcW w:w="8928" w:type="dxa"/>
            <w:tcBorders>
              <w:top w:val="single" w:color="auto" w:sz="4" w:space="0"/>
              <w:left w:val="single" w:color="auto" w:sz="4" w:space="0"/>
              <w:bottom w:val="single" w:color="auto" w:sz="4" w:space="0"/>
              <w:right w:val="single" w:color="auto" w:sz="4" w:space="0"/>
            </w:tcBorders>
            <w:vAlign w:val="center"/>
          </w:tcPr>
          <w:p w:rsidRPr="00403FDE" w:rsidR="009205FE" w:rsidP="005B4624" w:rsidRDefault="009205FE" w14:paraId="63A49329" w14:textId="53AEA659">
            <w:pPr>
              <w:pStyle w:val="ListParagraph"/>
              <w:numPr>
                <w:ilvl w:val="0"/>
                <w:numId w:val="7"/>
              </w:numPr>
              <w:tabs>
                <w:tab w:val="left" w:pos="932"/>
              </w:tabs>
              <w:ind w:right="122"/>
              <w:rPr>
                <w:sz w:val="22"/>
              </w:rPr>
            </w:pPr>
            <w:r w:rsidRPr="00403FDE">
              <w:rPr>
                <w:sz w:val="22"/>
              </w:rPr>
              <w:t xml:space="preserve">The Permittee shall monitor operations of its Reduced Pump Pressure Program.  Under this program, the Permittee shall post next to each filling line the matrix of optimal pump pressures as a function of can size and fill speed (which itself is a function of numerous variables, such as aerosol valve configuration).  The Permittee shall update its matrices as necessary.  Copies of all matrices, including outdated matrices, shall be included in the RACT Compliance Files for at least five (5) years and must be available for </w:t>
            </w:r>
            <w:r w:rsidRPr="00403FDE">
              <w:rPr>
                <w:spacing w:val="-2"/>
                <w:sz w:val="22"/>
              </w:rPr>
              <w:t>MassDEP</w:t>
            </w:r>
            <w:r w:rsidRPr="00403FDE">
              <w:rPr>
                <w:sz w:val="22"/>
              </w:rPr>
              <w:t xml:space="preserve"> and USEPA review.  MassDEP and USEPA may review the matrices as posted next to the gassing rooms, as well.  The Permittee’s Changeover Procedures shall be revised to require use of the matrix.  This SOP for Changeover Procedures must also be available for MassDEP and USEPA review.</w:t>
            </w:r>
          </w:p>
        </w:tc>
      </w:tr>
      <w:tr w:rsidRPr="000F7AD5" w:rsidR="009205FE" w:rsidTr="008C53DD" w14:paraId="6A4DDEDA" w14:textId="77777777">
        <w:trPr>
          <w:cantSplit/>
          <w:trHeight w:val="156"/>
          <w:jc w:val="center"/>
        </w:trPr>
        <w:tc>
          <w:tcPr>
            <w:tcW w:w="1255" w:type="dxa"/>
            <w:vMerge/>
            <w:vAlign w:val="center"/>
          </w:tcPr>
          <w:p w:rsidRPr="00403FDE" w:rsidR="009205FE" w:rsidP="00A60EAA" w:rsidRDefault="009205FE" w14:paraId="314D17BF" w14:textId="77777777">
            <w:pPr>
              <w:tabs>
                <w:tab w:val="left" w:pos="-720"/>
              </w:tabs>
              <w:suppressAutoHyphens/>
              <w:jc w:val="center"/>
              <w:rPr>
                <w:sz w:val="22"/>
                <w:szCs w:val="22"/>
              </w:rPr>
            </w:pPr>
          </w:p>
        </w:tc>
        <w:tc>
          <w:tcPr>
            <w:tcW w:w="8928" w:type="dxa"/>
            <w:tcBorders>
              <w:top w:val="single" w:color="auto" w:sz="4" w:space="0"/>
              <w:left w:val="single" w:color="auto" w:sz="4" w:space="0"/>
              <w:bottom w:val="single" w:color="auto" w:sz="4" w:space="0"/>
              <w:right w:val="single" w:color="auto" w:sz="4" w:space="0"/>
            </w:tcBorders>
            <w:vAlign w:val="center"/>
          </w:tcPr>
          <w:p w:rsidRPr="00403FDE" w:rsidR="009205FE" w:rsidP="005B4624" w:rsidRDefault="009205FE" w14:paraId="7594D8CB" w14:textId="609F69B6">
            <w:pPr>
              <w:pStyle w:val="ListParagraph"/>
              <w:numPr>
                <w:ilvl w:val="0"/>
                <w:numId w:val="7"/>
              </w:numPr>
              <w:tabs>
                <w:tab w:val="left" w:pos="932"/>
              </w:tabs>
              <w:ind w:right="122"/>
              <w:rPr>
                <w:sz w:val="22"/>
              </w:rPr>
            </w:pPr>
            <w:r w:rsidRPr="00403FDE">
              <w:rPr>
                <w:sz w:val="22"/>
              </w:rPr>
              <w:t>The Permittee shall monitor gas room safety venting.  Specifically, the gas room operator's initials, date, time, reason, location, and approximate amount of VOC that is vented must be documented. Actively used records must be kept by each filling room, and accumulated records must be stored in the RACT Compliance Files for at least five (5) years and made available for MassDEP and EPA review.</w:t>
            </w:r>
          </w:p>
        </w:tc>
      </w:tr>
      <w:tr w:rsidRPr="000F7AD5" w:rsidR="009205FE" w:rsidTr="008C53DD" w14:paraId="1712A374" w14:textId="77777777">
        <w:trPr>
          <w:cantSplit/>
          <w:trHeight w:val="156"/>
          <w:jc w:val="center"/>
        </w:trPr>
        <w:tc>
          <w:tcPr>
            <w:tcW w:w="1255" w:type="dxa"/>
            <w:vMerge/>
            <w:vAlign w:val="center"/>
          </w:tcPr>
          <w:p w:rsidRPr="00403FDE" w:rsidR="009205FE" w:rsidP="00A60EAA" w:rsidRDefault="009205FE" w14:paraId="486B3BD1" w14:textId="77777777">
            <w:pPr>
              <w:tabs>
                <w:tab w:val="left" w:pos="-720"/>
              </w:tabs>
              <w:suppressAutoHyphens/>
              <w:jc w:val="center"/>
              <w:rPr>
                <w:sz w:val="22"/>
                <w:szCs w:val="22"/>
              </w:rPr>
            </w:pPr>
          </w:p>
        </w:tc>
        <w:tc>
          <w:tcPr>
            <w:tcW w:w="8928" w:type="dxa"/>
            <w:tcBorders>
              <w:top w:val="single" w:color="auto" w:sz="4" w:space="0"/>
              <w:left w:val="single" w:color="auto" w:sz="4" w:space="0"/>
              <w:bottom w:val="single" w:color="auto" w:sz="4" w:space="0"/>
              <w:right w:val="single" w:color="auto" w:sz="4" w:space="0"/>
            </w:tcBorders>
            <w:vAlign w:val="center"/>
          </w:tcPr>
          <w:p w:rsidRPr="00403FDE" w:rsidR="009205FE" w:rsidP="005B4624" w:rsidRDefault="009205FE" w14:paraId="54E2ACF9" w14:textId="51E9D668">
            <w:pPr>
              <w:pStyle w:val="ListParagraph"/>
              <w:numPr>
                <w:ilvl w:val="0"/>
                <w:numId w:val="7"/>
              </w:numPr>
              <w:tabs>
                <w:tab w:val="left" w:pos="932"/>
              </w:tabs>
              <w:ind w:right="122"/>
              <w:rPr>
                <w:sz w:val="22"/>
              </w:rPr>
            </w:pPr>
            <w:r w:rsidRPr="00403FDE">
              <w:rPr>
                <w:sz w:val="22"/>
              </w:rPr>
              <w:t>The Permittee shall monitor records of attendance lists of the required semi-annual Gas Room Operator (GRO) Training (formerly known as Hydrocarbon Safety Training).</w:t>
            </w:r>
          </w:p>
        </w:tc>
      </w:tr>
      <w:tr w:rsidRPr="000F7AD5" w:rsidR="00BB4123" w:rsidTr="008C53DD" w14:paraId="7EC5F360" w14:textId="77777777">
        <w:trPr>
          <w:cantSplit/>
          <w:trHeight w:val="156"/>
          <w:jc w:val="center"/>
        </w:trPr>
        <w:tc>
          <w:tcPr>
            <w:tcW w:w="1255" w:type="dxa"/>
            <w:vAlign w:val="center"/>
          </w:tcPr>
          <w:p w:rsidRPr="00F63E0C" w:rsidR="00BB4123" w:rsidP="00A60EAA" w:rsidRDefault="009205FE" w14:paraId="41154832" w14:textId="161ECD03">
            <w:pPr>
              <w:tabs>
                <w:tab w:val="left" w:pos="-720"/>
              </w:tabs>
              <w:suppressAutoHyphens/>
              <w:jc w:val="center"/>
              <w:rPr>
                <w:sz w:val="22"/>
                <w:szCs w:val="22"/>
              </w:rPr>
            </w:pPr>
            <w:r w:rsidRPr="00F63E0C">
              <w:rPr>
                <w:sz w:val="22"/>
                <w:szCs w:val="22"/>
              </w:rPr>
              <w:t>EU25</w:t>
            </w:r>
          </w:p>
        </w:tc>
        <w:tc>
          <w:tcPr>
            <w:tcW w:w="8928" w:type="dxa"/>
            <w:tcBorders>
              <w:top w:val="single" w:color="auto" w:sz="4" w:space="0"/>
              <w:left w:val="single" w:color="auto" w:sz="4" w:space="0"/>
              <w:bottom w:val="single" w:color="auto" w:sz="4" w:space="0"/>
              <w:right w:val="single" w:color="auto" w:sz="4" w:space="0"/>
            </w:tcBorders>
            <w:vAlign w:val="center"/>
          </w:tcPr>
          <w:p w:rsidRPr="00F63E0C" w:rsidR="00BB4123" w:rsidP="005B4624" w:rsidRDefault="00BB4123" w14:paraId="687F82B3" w14:textId="6ED45197">
            <w:pPr>
              <w:pStyle w:val="ListParagraph"/>
              <w:numPr>
                <w:ilvl w:val="0"/>
                <w:numId w:val="7"/>
              </w:numPr>
              <w:tabs>
                <w:tab w:val="left" w:pos="932"/>
              </w:tabs>
              <w:ind w:right="122"/>
              <w:rPr>
                <w:sz w:val="22"/>
              </w:rPr>
            </w:pPr>
            <w:r w:rsidRPr="00F63E0C">
              <w:rPr>
                <w:rFonts w:eastAsia="Calibri"/>
                <w:sz w:val="22"/>
              </w:rPr>
              <w:t>The Permittee shall continue use of its comprehensive Aerosol Filling Room Leak Detection and Repair Program (AFRLDRP).  The AFRLDRP shall be conducted at least semi-annually on all gassing room pipeline hardware.  The Permittee shall monitor the dates that the AFRLDRP are conducted to verify that it is being conducted at least semiannually as required.</w:t>
            </w:r>
          </w:p>
        </w:tc>
      </w:tr>
      <w:tr w:rsidRPr="000F7AD5" w:rsidR="006C22C7" w:rsidTr="008C53DD" w14:paraId="0850B30D" w14:textId="77777777">
        <w:trPr>
          <w:cantSplit/>
          <w:trHeight w:val="786"/>
          <w:jc w:val="center"/>
        </w:trPr>
        <w:tc>
          <w:tcPr>
            <w:tcW w:w="1255" w:type="dxa"/>
            <w:vAlign w:val="center"/>
          </w:tcPr>
          <w:p w:rsidRPr="00F63E0C" w:rsidR="006C22C7" w:rsidP="00A60EAA" w:rsidRDefault="00D40EAD" w14:paraId="7EBAA8F6" w14:textId="589EA796">
            <w:pPr>
              <w:tabs>
                <w:tab w:val="left" w:pos="-720"/>
              </w:tabs>
              <w:suppressAutoHyphens/>
              <w:jc w:val="center"/>
              <w:rPr>
                <w:sz w:val="22"/>
                <w:szCs w:val="22"/>
              </w:rPr>
            </w:pPr>
            <w:r w:rsidRPr="00F63E0C">
              <w:rPr>
                <w:sz w:val="22"/>
                <w:szCs w:val="22"/>
              </w:rPr>
              <w:t>EU26</w:t>
            </w:r>
          </w:p>
        </w:tc>
        <w:tc>
          <w:tcPr>
            <w:tcW w:w="8928" w:type="dxa"/>
            <w:tcBorders>
              <w:top w:val="single" w:color="auto" w:sz="4" w:space="0"/>
              <w:left w:val="single" w:color="auto" w:sz="4" w:space="0"/>
              <w:bottom w:val="single" w:color="auto" w:sz="4" w:space="0"/>
              <w:right w:val="single" w:color="auto" w:sz="4" w:space="0"/>
            </w:tcBorders>
            <w:vAlign w:val="center"/>
          </w:tcPr>
          <w:p w:rsidRPr="00F63E0C" w:rsidR="006C22C7" w:rsidP="005B4624" w:rsidRDefault="006C22C7" w14:paraId="59F0DCBA" w14:textId="622CE747">
            <w:pPr>
              <w:pStyle w:val="ListParagraph"/>
              <w:numPr>
                <w:ilvl w:val="0"/>
                <w:numId w:val="7"/>
              </w:numPr>
              <w:tabs>
                <w:tab w:val="left" w:pos="932"/>
              </w:tabs>
              <w:ind w:right="122"/>
              <w:rPr>
                <w:sz w:val="22"/>
              </w:rPr>
            </w:pPr>
            <w:r w:rsidRPr="00F63E0C">
              <w:rPr>
                <w:sz w:val="22"/>
              </w:rPr>
              <w:t xml:space="preserve">The Permittee shall monitor the amount of VOC solvents used for </w:t>
            </w:r>
            <w:r w:rsidRPr="00F63E0C" w:rsidR="00D90C82">
              <w:rPr>
                <w:sz w:val="22"/>
              </w:rPr>
              <w:t>QA/QC</w:t>
            </w:r>
            <w:r w:rsidRPr="00F63E0C">
              <w:rPr>
                <w:sz w:val="22"/>
              </w:rPr>
              <w:t xml:space="preserve"> operations, in </w:t>
            </w:r>
            <w:r w:rsidRPr="00F63E0C" w:rsidR="005B4865">
              <w:rPr>
                <w:sz w:val="22"/>
              </w:rPr>
              <w:t>any twelve</w:t>
            </w:r>
            <w:r w:rsidRPr="00F63E0C">
              <w:rPr>
                <w:sz w:val="22"/>
              </w:rPr>
              <w:t xml:space="preserve">-month </w:t>
            </w:r>
            <w:r w:rsidRPr="00F63E0C" w:rsidR="004D502F">
              <w:rPr>
                <w:sz w:val="22"/>
              </w:rPr>
              <w:t xml:space="preserve">rolling </w:t>
            </w:r>
            <w:r w:rsidRPr="00F63E0C">
              <w:rPr>
                <w:sz w:val="22"/>
              </w:rPr>
              <w:t>period, to demonstrate</w:t>
            </w:r>
            <w:r w:rsidRPr="00F63E0C" w:rsidR="00A020AD">
              <w:rPr>
                <w:sz w:val="22"/>
              </w:rPr>
              <w:t xml:space="preserve"> compliance </w:t>
            </w:r>
            <w:r w:rsidRPr="00F63E0C" w:rsidR="00F13CAC">
              <w:rPr>
                <w:sz w:val="22"/>
              </w:rPr>
              <w:t>with</w:t>
            </w:r>
            <w:r w:rsidRPr="00F63E0C" w:rsidR="00C9706F">
              <w:rPr>
                <w:sz w:val="22"/>
              </w:rPr>
              <w:t xml:space="preserve"> </w:t>
            </w:r>
            <w:r w:rsidRPr="00F63E0C" w:rsidR="00F13CAC">
              <w:rPr>
                <w:sz w:val="22"/>
              </w:rPr>
              <w:t>record keeping requirements in Table 4.</w:t>
            </w:r>
          </w:p>
        </w:tc>
      </w:tr>
      <w:tr w:rsidRPr="000F7AD5" w:rsidR="00497D02" w:rsidTr="008C53DD" w14:paraId="2CC2E74B" w14:textId="77777777">
        <w:trPr>
          <w:cantSplit/>
          <w:trHeight w:val="786"/>
          <w:jc w:val="center"/>
        </w:trPr>
        <w:tc>
          <w:tcPr>
            <w:tcW w:w="1255" w:type="dxa"/>
            <w:vAlign w:val="center"/>
          </w:tcPr>
          <w:p w:rsidRPr="000F7AD5" w:rsidR="00497D02" w:rsidP="00A60EAA" w:rsidRDefault="00F05C12" w14:paraId="096159BC" w14:textId="15E7C9B8">
            <w:pPr>
              <w:tabs>
                <w:tab w:val="left" w:pos="-720"/>
              </w:tabs>
              <w:suppressAutoHyphens/>
              <w:jc w:val="center"/>
              <w:rPr>
                <w:sz w:val="22"/>
                <w:szCs w:val="22"/>
              </w:rPr>
            </w:pPr>
            <w:r w:rsidRPr="000F7AD5">
              <w:rPr>
                <w:sz w:val="22"/>
                <w:szCs w:val="22"/>
              </w:rPr>
              <w:t>EU27</w:t>
            </w: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497D02" w:rsidP="005B4624" w:rsidRDefault="00950A42" w14:paraId="76BC3179" w14:textId="0351F1CE">
            <w:pPr>
              <w:pStyle w:val="ListParagraph"/>
              <w:numPr>
                <w:ilvl w:val="0"/>
                <w:numId w:val="7"/>
              </w:numPr>
              <w:tabs>
                <w:tab w:val="left" w:pos="932"/>
              </w:tabs>
              <w:ind w:right="122"/>
              <w:rPr>
                <w:sz w:val="22"/>
              </w:rPr>
            </w:pPr>
            <w:r w:rsidRPr="00950A42">
              <w:rPr>
                <w:sz w:val="22"/>
              </w:rPr>
              <w:t xml:space="preserve"> The Permittee shall</w:t>
            </w:r>
            <w:r>
              <w:rPr>
                <w:sz w:val="22"/>
              </w:rPr>
              <w:t xml:space="preserve"> monito</w:t>
            </w:r>
            <w:r w:rsidR="002A35C1">
              <w:rPr>
                <w:sz w:val="22"/>
              </w:rPr>
              <w:t>r</w:t>
            </w:r>
            <w:r w:rsidRPr="00950A42">
              <w:rPr>
                <w:sz w:val="22"/>
              </w:rPr>
              <w:t xml:space="preserve"> the amount of perforation press lubricating oil used </w:t>
            </w:r>
            <w:r w:rsidR="002A35C1">
              <w:rPr>
                <w:sz w:val="22"/>
              </w:rPr>
              <w:t>and resultant VOC</w:t>
            </w:r>
            <w:r w:rsidR="009865B8">
              <w:rPr>
                <w:sz w:val="22"/>
              </w:rPr>
              <w:t xml:space="preserve"> and PM</w:t>
            </w:r>
            <w:r w:rsidRPr="00623F6F" w:rsidR="00623F6F">
              <w:rPr>
                <w:sz w:val="22"/>
                <w:vertAlign w:val="subscript"/>
              </w:rPr>
              <w:t>2.5</w:t>
            </w:r>
            <w:r w:rsidR="009865B8">
              <w:rPr>
                <w:sz w:val="22"/>
              </w:rPr>
              <w:t xml:space="preserve"> emissions </w:t>
            </w:r>
            <w:r w:rsidR="00B0475C">
              <w:rPr>
                <w:sz w:val="22"/>
              </w:rPr>
              <w:t xml:space="preserve">to </w:t>
            </w:r>
            <w:r w:rsidR="002A319F">
              <w:rPr>
                <w:sz w:val="22"/>
              </w:rPr>
              <w:t>demonstrate</w:t>
            </w:r>
            <w:r w:rsidRPr="00950A42">
              <w:rPr>
                <w:sz w:val="22"/>
              </w:rPr>
              <w:t xml:space="preserve"> compliance with </w:t>
            </w:r>
            <w:r w:rsidR="00B0475C">
              <w:rPr>
                <w:sz w:val="22"/>
              </w:rPr>
              <w:t>record keeping requirements in Table 4</w:t>
            </w:r>
            <w:r w:rsidRPr="00950A42">
              <w:rPr>
                <w:sz w:val="22"/>
              </w:rPr>
              <w:t>.</w:t>
            </w:r>
          </w:p>
        </w:tc>
      </w:tr>
      <w:tr w:rsidRPr="000F7AD5" w:rsidR="00415D63" w:rsidTr="008C53DD" w14:paraId="054A2AC8" w14:textId="77777777">
        <w:trPr>
          <w:cantSplit/>
          <w:trHeight w:val="786"/>
          <w:jc w:val="center"/>
        </w:trPr>
        <w:tc>
          <w:tcPr>
            <w:tcW w:w="1255" w:type="dxa"/>
            <w:vAlign w:val="center"/>
          </w:tcPr>
          <w:p w:rsidRPr="000F7AD5" w:rsidR="00415D63" w:rsidP="00A60EAA" w:rsidRDefault="00415D63" w14:paraId="6E020DCC" w14:textId="769E6489">
            <w:pPr>
              <w:tabs>
                <w:tab w:val="left" w:pos="-720"/>
              </w:tabs>
              <w:suppressAutoHyphens/>
              <w:jc w:val="center"/>
              <w:rPr>
                <w:sz w:val="22"/>
                <w:szCs w:val="22"/>
              </w:rPr>
            </w:pPr>
            <w:r w:rsidRPr="000F7AD5">
              <w:rPr>
                <w:sz w:val="22"/>
                <w:szCs w:val="22"/>
              </w:rPr>
              <w:t>EU28</w:t>
            </w: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415D63" w:rsidP="00A26FA4" w:rsidRDefault="00A26FA4" w14:paraId="5FD83A87" w14:textId="7919AE47">
            <w:pPr>
              <w:pStyle w:val="ListParagraph"/>
              <w:numPr>
                <w:ilvl w:val="0"/>
                <w:numId w:val="7"/>
              </w:numPr>
              <w:tabs>
                <w:tab w:val="left" w:pos="932"/>
              </w:tabs>
              <w:ind w:right="122"/>
              <w:rPr>
                <w:sz w:val="22"/>
              </w:rPr>
            </w:pPr>
            <w:r w:rsidRPr="000F7AD5">
              <w:rPr>
                <w:sz w:val="22"/>
              </w:rPr>
              <w:t>The Permittee shall monitor</w:t>
            </w:r>
            <w:r w:rsidR="00453AAF">
              <w:rPr>
                <w:sz w:val="22"/>
              </w:rPr>
              <w:t xml:space="preserve"> </w:t>
            </w:r>
            <w:r w:rsidR="000A74A3">
              <w:rPr>
                <w:sz w:val="22"/>
              </w:rPr>
              <w:t>the</w:t>
            </w:r>
            <w:r w:rsidR="00453AAF">
              <w:rPr>
                <w:sz w:val="22"/>
              </w:rPr>
              <w:t xml:space="preserve"> </w:t>
            </w:r>
            <w:r w:rsidRPr="000F7AD5">
              <w:rPr>
                <w:sz w:val="22"/>
              </w:rPr>
              <w:t>usage of</w:t>
            </w:r>
            <w:r w:rsidR="00E0131D">
              <w:rPr>
                <w:sz w:val="22"/>
              </w:rPr>
              <w:t xml:space="preserve"> QA / QC </w:t>
            </w:r>
            <w:r w:rsidRPr="000F7AD5" w:rsidR="00C24A13">
              <w:rPr>
                <w:sz w:val="22"/>
              </w:rPr>
              <w:t>i</w:t>
            </w:r>
            <w:r w:rsidRPr="000F7AD5">
              <w:rPr>
                <w:sz w:val="22"/>
              </w:rPr>
              <w:t>sopropanol</w:t>
            </w:r>
            <w:r w:rsidRPr="000F7AD5" w:rsidR="00C24A13">
              <w:t xml:space="preserve"> </w:t>
            </w:r>
            <w:r w:rsidRPr="000F7AD5" w:rsidR="00C24A13">
              <w:rPr>
                <w:sz w:val="22"/>
              </w:rPr>
              <w:t>in mold cleaning operations</w:t>
            </w:r>
            <w:r w:rsidR="003E790C">
              <w:rPr>
                <w:sz w:val="22"/>
              </w:rPr>
              <w:t xml:space="preserve"> and resultant</w:t>
            </w:r>
            <w:r w:rsidR="00453AAF">
              <w:rPr>
                <w:sz w:val="22"/>
              </w:rPr>
              <w:t xml:space="preserve"> </w:t>
            </w:r>
            <w:r w:rsidR="000A74A3">
              <w:rPr>
                <w:sz w:val="22"/>
              </w:rPr>
              <w:t>VOC</w:t>
            </w:r>
            <w:r w:rsidR="003E790C">
              <w:rPr>
                <w:sz w:val="22"/>
              </w:rPr>
              <w:t xml:space="preserve"> emissions</w:t>
            </w:r>
            <w:r w:rsidR="00B31293">
              <w:rPr>
                <w:sz w:val="22"/>
              </w:rPr>
              <w:t xml:space="preserve"> to </w:t>
            </w:r>
            <w:r w:rsidR="00066F47">
              <w:rPr>
                <w:sz w:val="22"/>
              </w:rPr>
              <w:t>demonstrate</w:t>
            </w:r>
            <w:r w:rsidR="00B31293">
              <w:rPr>
                <w:sz w:val="22"/>
              </w:rPr>
              <w:t xml:space="preserve"> compliance</w:t>
            </w:r>
            <w:r w:rsidRPr="00D33051" w:rsidR="00D33051">
              <w:rPr>
                <w:sz w:val="22"/>
              </w:rPr>
              <w:t xml:space="preserve"> with record keeping requirements in Table 4.</w:t>
            </w:r>
          </w:p>
        </w:tc>
      </w:tr>
      <w:tr w:rsidRPr="000F7AD5" w:rsidR="00BF7B3A" w:rsidTr="008C53DD" w14:paraId="70E986BD" w14:textId="77777777">
        <w:trPr>
          <w:cantSplit/>
          <w:trHeight w:val="786"/>
          <w:jc w:val="center"/>
        </w:trPr>
        <w:tc>
          <w:tcPr>
            <w:tcW w:w="1255" w:type="dxa"/>
            <w:vAlign w:val="center"/>
          </w:tcPr>
          <w:p w:rsidRPr="000F7AD5" w:rsidR="00BF7B3A" w:rsidP="00A60EAA" w:rsidRDefault="00BF7B3A" w14:paraId="0832D842" w14:textId="7F8A338C">
            <w:pPr>
              <w:tabs>
                <w:tab w:val="left" w:pos="-720"/>
              </w:tabs>
              <w:suppressAutoHyphens/>
              <w:jc w:val="center"/>
              <w:rPr>
                <w:sz w:val="22"/>
                <w:szCs w:val="22"/>
              </w:rPr>
            </w:pPr>
            <w:r w:rsidRPr="000F7AD5">
              <w:rPr>
                <w:sz w:val="22"/>
                <w:szCs w:val="22"/>
              </w:rPr>
              <w:t>EU29</w:t>
            </w: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BF7B3A" w:rsidP="00A26FA4" w:rsidRDefault="00C24A13" w14:paraId="219F2209" w14:textId="78FBB3B7">
            <w:pPr>
              <w:pStyle w:val="ListParagraph"/>
              <w:numPr>
                <w:ilvl w:val="0"/>
                <w:numId w:val="7"/>
              </w:numPr>
              <w:tabs>
                <w:tab w:val="left" w:pos="932"/>
              </w:tabs>
              <w:ind w:right="122"/>
              <w:rPr>
                <w:sz w:val="22"/>
              </w:rPr>
            </w:pPr>
            <w:r w:rsidRPr="000F7AD5">
              <w:rPr>
                <w:sz w:val="22"/>
              </w:rPr>
              <w:t>The Permittee shall monitor the various lubricants and coatings</w:t>
            </w:r>
            <w:r w:rsidR="002D2C21">
              <w:rPr>
                <w:sz w:val="22"/>
              </w:rPr>
              <w:t xml:space="preserve"> used</w:t>
            </w:r>
            <w:r w:rsidR="00A61CE2">
              <w:rPr>
                <w:sz w:val="22"/>
              </w:rPr>
              <w:t xml:space="preserve"> and</w:t>
            </w:r>
            <w:r w:rsidR="00EB6D64">
              <w:rPr>
                <w:sz w:val="22"/>
              </w:rPr>
              <w:t xml:space="preserve"> </w:t>
            </w:r>
            <w:r w:rsidRPr="00F63E0C" w:rsidR="00EB6D64">
              <w:rPr>
                <w:sz w:val="22"/>
              </w:rPr>
              <w:t xml:space="preserve">resultant </w:t>
            </w:r>
            <w:r w:rsidRPr="00F63E0C">
              <w:rPr>
                <w:sz w:val="22"/>
              </w:rPr>
              <w:t>VOC</w:t>
            </w:r>
            <w:r w:rsidRPr="000F7AD5">
              <w:rPr>
                <w:sz w:val="22"/>
              </w:rPr>
              <w:t xml:space="preserve"> and </w:t>
            </w:r>
            <w:r w:rsidRPr="00066F47" w:rsidR="00066F47">
              <w:rPr>
                <w:sz w:val="22"/>
              </w:rPr>
              <w:t>PM</w:t>
            </w:r>
            <w:r w:rsidRPr="00066F47" w:rsidR="00066F47">
              <w:rPr>
                <w:sz w:val="22"/>
                <w:vertAlign w:val="subscript"/>
              </w:rPr>
              <w:t>2.5</w:t>
            </w:r>
            <w:r w:rsidRPr="00066F47" w:rsidR="00066F47">
              <w:rPr>
                <w:sz w:val="22"/>
              </w:rPr>
              <w:t xml:space="preserve"> </w:t>
            </w:r>
            <w:r w:rsidRPr="000F7AD5">
              <w:rPr>
                <w:sz w:val="22"/>
              </w:rPr>
              <w:t xml:space="preserve">emissions </w:t>
            </w:r>
            <w:r w:rsidR="00D33051">
              <w:rPr>
                <w:sz w:val="22"/>
              </w:rPr>
              <w:t xml:space="preserve">to </w:t>
            </w:r>
            <w:r w:rsidR="00066F47">
              <w:rPr>
                <w:sz w:val="22"/>
              </w:rPr>
              <w:t>demonstrat</w:t>
            </w:r>
            <w:r w:rsidR="00D33051">
              <w:rPr>
                <w:sz w:val="22"/>
              </w:rPr>
              <w:t>e compliance with record keeping requirements in Table 4.</w:t>
            </w:r>
          </w:p>
        </w:tc>
      </w:tr>
      <w:tr w:rsidRPr="000F7AD5" w:rsidR="00CA54AA" w:rsidTr="008C53DD" w14:paraId="73BFD833" w14:textId="77777777">
        <w:trPr>
          <w:cantSplit/>
          <w:trHeight w:val="786"/>
          <w:jc w:val="center"/>
        </w:trPr>
        <w:tc>
          <w:tcPr>
            <w:tcW w:w="1255" w:type="dxa"/>
            <w:vMerge w:val="restart"/>
            <w:vAlign w:val="center"/>
          </w:tcPr>
          <w:p w:rsidRPr="000F7AD5" w:rsidR="00CA54AA" w:rsidP="00DC1FF2" w:rsidRDefault="00CA54AA" w14:paraId="30F725A1" w14:textId="15F676E4">
            <w:pPr>
              <w:tabs>
                <w:tab w:val="left" w:pos="-720"/>
              </w:tabs>
              <w:suppressAutoHyphens/>
              <w:jc w:val="center"/>
              <w:rPr>
                <w:sz w:val="22"/>
                <w:szCs w:val="22"/>
              </w:rPr>
            </w:pPr>
            <w:r w:rsidRPr="000F7AD5">
              <w:rPr>
                <w:sz w:val="22"/>
                <w:szCs w:val="22"/>
              </w:rPr>
              <w:t>Facility-wide</w:t>
            </w: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CA54AA" w:rsidP="00A26FA4" w:rsidRDefault="00CA54AA" w14:paraId="146B4EEF" w14:textId="0A1C434D">
            <w:pPr>
              <w:pStyle w:val="ListParagraph"/>
              <w:numPr>
                <w:ilvl w:val="0"/>
                <w:numId w:val="7"/>
              </w:numPr>
              <w:tabs>
                <w:tab w:val="left" w:pos="932"/>
              </w:tabs>
              <w:ind w:right="122"/>
              <w:rPr>
                <w:sz w:val="22"/>
              </w:rPr>
            </w:pPr>
            <w:r w:rsidRPr="00AD419F">
              <w:rPr>
                <w:sz w:val="22"/>
              </w:rPr>
              <w:t>The Permittee shall monitor the amount of VOC solvents used for industrial solvent cleaning operations so that, in any consecutive twelve-month period to demonstrate that the VOC emissions are less than the 2.9 tons per twelve month rolling period.</w:t>
            </w:r>
          </w:p>
        </w:tc>
      </w:tr>
      <w:tr w:rsidRPr="000F7AD5" w:rsidR="00CA54AA" w:rsidTr="002814CD" w14:paraId="7C01DA70" w14:textId="77777777">
        <w:trPr>
          <w:cantSplit/>
          <w:trHeight w:val="786"/>
          <w:jc w:val="center"/>
        </w:trPr>
        <w:tc>
          <w:tcPr>
            <w:tcW w:w="1255" w:type="dxa"/>
            <w:vMerge/>
            <w:vAlign w:val="center"/>
          </w:tcPr>
          <w:p w:rsidRPr="000F7AD5" w:rsidR="00CA54AA" w:rsidP="00DC1FF2" w:rsidRDefault="00CA54AA" w14:paraId="34B3FFB8" w14:textId="4FB1418D">
            <w:pPr>
              <w:tabs>
                <w:tab w:val="left" w:pos="-720"/>
              </w:tabs>
              <w:suppressAutoHyphens/>
              <w:jc w:val="center"/>
              <w:rPr>
                <w:sz w:val="22"/>
                <w:szCs w:val="22"/>
              </w:rPr>
            </w:pPr>
          </w:p>
        </w:tc>
        <w:tc>
          <w:tcPr>
            <w:tcW w:w="8928" w:type="dxa"/>
            <w:tcBorders>
              <w:top w:val="single" w:color="auto" w:sz="4" w:space="0"/>
              <w:bottom w:val="single" w:color="auto" w:sz="4" w:space="0"/>
              <w:right w:val="single" w:color="auto" w:sz="4" w:space="0"/>
            </w:tcBorders>
            <w:vAlign w:val="center"/>
          </w:tcPr>
          <w:p w:rsidRPr="008F6308" w:rsidR="00CA54AA" w:rsidP="005142AA" w:rsidRDefault="00CA54AA" w14:paraId="7865FF58" w14:textId="239217A6">
            <w:pPr>
              <w:tabs>
                <w:tab w:val="left" w:pos="932"/>
              </w:tabs>
              <w:ind w:left="391" w:right="122" w:hanging="360"/>
              <w:rPr>
                <w:sz w:val="22"/>
              </w:rPr>
            </w:pPr>
            <w:r w:rsidRPr="008F6308">
              <w:rPr>
                <w:sz w:val="22"/>
              </w:rPr>
              <w:t xml:space="preserve">23.  The Permittee shall monitor operations such that the records of the facility-wide VOC, </w:t>
            </w:r>
            <w:r w:rsidRPr="002C4C0D">
              <w:rPr>
                <w:sz w:val="22"/>
              </w:rPr>
              <w:t xml:space="preserve">single and total </w:t>
            </w:r>
            <w:r w:rsidRPr="008F6308">
              <w:rPr>
                <w:sz w:val="22"/>
              </w:rPr>
              <w:t>HAPs, SO</w:t>
            </w:r>
            <w:r w:rsidRPr="008F6308">
              <w:rPr>
                <w:sz w:val="22"/>
                <w:vertAlign w:val="subscript"/>
              </w:rPr>
              <w:t>2</w:t>
            </w:r>
            <w:r w:rsidRPr="008F6308">
              <w:rPr>
                <w:sz w:val="22"/>
              </w:rPr>
              <w:t>, CO, and NOx emissions on a monthly and twelve-month rolling period are maintained so that compliance with the emission limits in Table 2 of this Plan Approval shall be documented.</w:t>
            </w:r>
          </w:p>
        </w:tc>
      </w:tr>
      <w:tr w:rsidRPr="000F7AD5" w:rsidR="00CA54AA" w:rsidTr="002814CD" w14:paraId="0C61FF14" w14:textId="77777777">
        <w:trPr>
          <w:cantSplit/>
          <w:trHeight w:val="786"/>
          <w:jc w:val="center"/>
        </w:trPr>
        <w:tc>
          <w:tcPr>
            <w:tcW w:w="1255" w:type="dxa"/>
            <w:vMerge/>
            <w:vAlign w:val="center"/>
          </w:tcPr>
          <w:p w:rsidRPr="000F7AD5" w:rsidR="00CA54AA" w:rsidP="00DC1FF2" w:rsidRDefault="00CA54AA" w14:paraId="6E25E41C" w14:textId="77777777">
            <w:pPr>
              <w:tabs>
                <w:tab w:val="left" w:pos="-720"/>
              </w:tabs>
              <w:suppressAutoHyphens/>
              <w:jc w:val="center"/>
              <w:rPr>
                <w:sz w:val="22"/>
                <w:szCs w:val="22"/>
              </w:rPr>
            </w:pPr>
          </w:p>
        </w:tc>
        <w:tc>
          <w:tcPr>
            <w:tcW w:w="8928" w:type="dxa"/>
            <w:tcBorders>
              <w:top w:val="single" w:color="auto" w:sz="4" w:space="0"/>
              <w:bottom w:val="single" w:color="auto" w:sz="4" w:space="0"/>
              <w:right w:val="single" w:color="auto" w:sz="4" w:space="0"/>
            </w:tcBorders>
            <w:vAlign w:val="center"/>
          </w:tcPr>
          <w:p w:rsidRPr="000F7AD5" w:rsidR="00CA54AA" w:rsidP="00497D02" w:rsidRDefault="00CA54AA" w14:paraId="3EACF5E4" w14:textId="6A94BC6A">
            <w:pPr>
              <w:pStyle w:val="ListParagraph"/>
              <w:tabs>
                <w:tab w:val="left" w:pos="932"/>
              </w:tabs>
              <w:ind w:left="360" w:right="122" w:hanging="360"/>
              <w:rPr>
                <w:sz w:val="22"/>
              </w:rPr>
            </w:pPr>
            <w:r w:rsidRPr="000F7AD5">
              <w:rPr>
                <w:sz w:val="22"/>
              </w:rPr>
              <w:t>2</w:t>
            </w:r>
            <w:r>
              <w:rPr>
                <w:sz w:val="22"/>
              </w:rPr>
              <w:t>4</w:t>
            </w:r>
            <w:r w:rsidRPr="000F7AD5">
              <w:rPr>
                <w:sz w:val="22"/>
              </w:rPr>
              <w:t xml:space="preserve">.  The Permittee shall monitor facility operations for instances of deviation from this Plan Approval. </w:t>
            </w:r>
          </w:p>
        </w:tc>
      </w:tr>
      <w:tr w:rsidRPr="000F7AD5" w:rsidR="00CA54AA" w:rsidTr="002814CD" w14:paraId="363A5E19" w14:textId="77777777">
        <w:trPr>
          <w:cantSplit/>
          <w:trHeight w:val="786"/>
          <w:jc w:val="center"/>
        </w:trPr>
        <w:tc>
          <w:tcPr>
            <w:tcW w:w="1255" w:type="dxa"/>
            <w:vMerge/>
            <w:vAlign w:val="center"/>
          </w:tcPr>
          <w:p w:rsidRPr="000F7AD5" w:rsidR="00CA54AA" w:rsidP="00DC1FF2" w:rsidRDefault="00CA54AA" w14:paraId="26834E2D" w14:textId="13593700">
            <w:pPr>
              <w:tabs>
                <w:tab w:val="left" w:pos="-720"/>
              </w:tabs>
              <w:suppressAutoHyphens/>
              <w:jc w:val="center"/>
              <w:rPr>
                <w:sz w:val="22"/>
                <w:szCs w:val="22"/>
              </w:rPr>
            </w:pPr>
          </w:p>
        </w:tc>
        <w:tc>
          <w:tcPr>
            <w:tcW w:w="8928" w:type="dxa"/>
            <w:tcBorders>
              <w:top w:val="single" w:color="auto" w:sz="4" w:space="0"/>
              <w:bottom w:val="single" w:color="auto" w:sz="4" w:space="0"/>
              <w:right w:val="single" w:color="auto" w:sz="4" w:space="0"/>
            </w:tcBorders>
            <w:vAlign w:val="center"/>
          </w:tcPr>
          <w:p w:rsidRPr="000F7AD5" w:rsidR="00CA54AA" w:rsidP="00497D02" w:rsidRDefault="00CA54AA" w14:paraId="165AD8C3" w14:textId="05E94782">
            <w:pPr>
              <w:pStyle w:val="ListParagraph"/>
              <w:tabs>
                <w:tab w:val="left" w:pos="932"/>
              </w:tabs>
              <w:ind w:left="360" w:right="122" w:hanging="360"/>
              <w:rPr>
                <w:sz w:val="22"/>
              </w:rPr>
            </w:pPr>
            <w:r w:rsidRPr="000F7AD5">
              <w:rPr>
                <w:sz w:val="22"/>
              </w:rPr>
              <w:t>2</w:t>
            </w:r>
            <w:r>
              <w:rPr>
                <w:sz w:val="22"/>
              </w:rPr>
              <w:t>5</w:t>
            </w:r>
            <w:r w:rsidRPr="000F7AD5">
              <w:rPr>
                <w:sz w:val="22"/>
              </w:rPr>
              <w:t xml:space="preserve">.  When a new aerosol-packaged product is considered for introduction, the standard testing </w:t>
            </w:r>
            <w:r w:rsidRPr="009C6556">
              <w:rPr>
                <w:sz w:val="22"/>
              </w:rPr>
              <w:t>procedures shall include evaluation of the technical feasibility of TTV filling.  If technically feasible, the new product shall be</w:t>
            </w:r>
            <w:r w:rsidRPr="000F7AD5">
              <w:rPr>
                <w:sz w:val="22"/>
              </w:rPr>
              <w:t xml:space="preserve"> TTV-filled.</w:t>
            </w:r>
          </w:p>
        </w:tc>
      </w:tr>
      <w:tr w:rsidRPr="000F7AD5" w:rsidR="00CA54AA" w:rsidTr="002814CD" w14:paraId="08DCB7F2" w14:textId="77777777">
        <w:trPr>
          <w:cantSplit/>
          <w:trHeight w:val="786"/>
          <w:jc w:val="center"/>
        </w:trPr>
        <w:tc>
          <w:tcPr>
            <w:tcW w:w="1255" w:type="dxa"/>
            <w:vMerge/>
            <w:vAlign w:val="center"/>
          </w:tcPr>
          <w:p w:rsidRPr="000F7AD5" w:rsidR="00CA54AA" w:rsidP="00DC1FF2" w:rsidRDefault="00CA54AA" w14:paraId="7838B3D4" w14:textId="7A751BC6">
            <w:pPr>
              <w:tabs>
                <w:tab w:val="left" w:pos="-720"/>
              </w:tabs>
              <w:suppressAutoHyphens/>
              <w:jc w:val="center"/>
              <w:rPr>
                <w:sz w:val="22"/>
                <w:szCs w:val="22"/>
              </w:rPr>
            </w:pPr>
          </w:p>
        </w:tc>
        <w:tc>
          <w:tcPr>
            <w:tcW w:w="8928" w:type="dxa"/>
            <w:tcBorders>
              <w:top w:val="single" w:color="auto" w:sz="4" w:space="0"/>
              <w:bottom w:val="single" w:color="auto" w:sz="4" w:space="0"/>
              <w:right w:val="single" w:color="auto" w:sz="4" w:space="0"/>
            </w:tcBorders>
            <w:vAlign w:val="center"/>
          </w:tcPr>
          <w:p w:rsidRPr="000F7AD5" w:rsidR="00CA54AA" w:rsidP="004027DB" w:rsidRDefault="00CA54AA" w14:paraId="6CB57880" w14:textId="69A02DA1">
            <w:pPr>
              <w:pStyle w:val="ListParagraph"/>
              <w:tabs>
                <w:tab w:val="left" w:pos="932"/>
              </w:tabs>
              <w:ind w:left="360" w:right="122" w:hanging="360"/>
              <w:rPr>
                <w:sz w:val="22"/>
              </w:rPr>
            </w:pPr>
            <w:r w:rsidRPr="000F7AD5">
              <w:rPr>
                <w:sz w:val="22"/>
              </w:rPr>
              <w:t>2</w:t>
            </w:r>
            <w:r>
              <w:rPr>
                <w:sz w:val="22"/>
              </w:rPr>
              <w:t>6</w:t>
            </w:r>
            <w:r w:rsidRPr="000F7AD5">
              <w:rPr>
                <w:sz w:val="22"/>
              </w:rPr>
              <w:t xml:space="preserve">.  The Permittee shall monitor alcohol usage on a monthly basis in the RACT Compliance Files for at least five (5) years and be made available for MassDEP and USEPA inspection. </w:t>
            </w:r>
          </w:p>
        </w:tc>
      </w:tr>
      <w:tr w:rsidRPr="000F7AD5" w:rsidR="00CA54AA" w:rsidTr="00AD6E2B" w14:paraId="06E8D8F5" w14:textId="77777777">
        <w:trPr>
          <w:cantSplit/>
          <w:trHeight w:val="786"/>
          <w:jc w:val="center"/>
        </w:trPr>
        <w:tc>
          <w:tcPr>
            <w:tcW w:w="1255" w:type="dxa"/>
            <w:vMerge/>
            <w:vAlign w:val="center"/>
          </w:tcPr>
          <w:p w:rsidRPr="000F7AD5" w:rsidR="00CA54AA" w:rsidP="00DC1FF2" w:rsidRDefault="00CA54AA" w14:paraId="168972B1" w14:textId="38E11B90">
            <w:pPr>
              <w:tabs>
                <w:tab w:val="left" w:pos="-720"/>
              </w:tabs>
              <w:suppressAutoHyphens/>
              <w:jc w:val="center"/>
              <w:rPr>
                <w:sz w:val="22"/>
                <w:szCs w:val="22"/>
              </w:rPr>
            </w:pPr>
          </w:p>
        </w:tc>
        <w:tc>
          <w:tcPr>
            <w:tcW w:w="8928" w:type="dxa"/>
            <w:tcBorders>
              <w:top w:val="single" w:color="auto" w:sz="4" w:space="0"/>
              <w:bottom w:val="single" w:color="auto" w:sz="4" w:space="0"/>
              <w:right w:val="single" w:color="auto" w:sz="4" w:space="0"/>
            </w:tcBorders>
            <w:vAlign w:val="center"/>
          </w:tcPr>
          <w:p w:rsidRPr="000F7AD5" w:rsidR="00CA54AA" w:rsidP="00DC1FF2" w:rsidRDefault="00CA54AA" w14:paraId="3201B77C" w14:textId="50051662">
            <w:pPr>
              <w:pStyle w:val="ListParagraph"/>
              <w:tabs>
                <w:tab w:val="left" w:pos="932"/>
              </w:tabs>
              <w:ind w:left="360" w:right="122" w:hanging="360"/>
              <w:rPr>
                <w:sz w:val="22"/>
              </w:rPr>
            </w:pPr>
            <w:r w:rsidRPr="000F7AD5">
              <w:rPr>
                <w:sz w:val="22"/>
              </w:rPr>
              <w:t>2</w:t>
            </w:r>
            <w:r>
              <w:rPr>
                <w:sz w:val="22"/>
              </w:rPr>
              <w:t>7</w:t>
            </w:r>
            <w:r w:rsidRPr="000F7AD5">
              <w:rPr>
                <w:sz w:val="22"/>
              </w:rPr>
              <w:t xml:space="preserve">. </w:t>
            </w:r>
            <w:r>
              <w:rPr>
                <w:sz w:val="22"/>
              </w:rPr>
              <w:t xml:space="preserve"> </w:t>
            </w:r>
            <w:r w:rsidRPr="000F7AD5">
              <w:rPr>
                <w:sz w:val="22"/>
              </w:rPr>
              <w:t xml:space="preserve">The Permittee shall inspect and maintain each fuel utilization facility, having an energy input capacity of </w:t>
            </w:r>
            <w:r>
              <w:rPr>
                <w:rFonts w:cs="Times New Roman"/>
                <w:sz w:val="22"/>
              </w:rPr>
              <w:t>≥</w:t>
            </w:r>
            <w:r w:rsidRPr="000F7AD5">
              <w:rPr>
                <w:sz w:val="22"/>
              </w:rPr>
              <w:t xml:space="preserve"> 3 MMBtu/hr in accordance with manufacturer's recommendations and test for efficient operation at least once in each calendar year as provided in </w:t>
            </w:r>
            <w:r w:rsidRPr="001B04D4">
              <w:rPr>
                <w:sz w:val="22"/>
              </w:rPr>
              <w:t>310 CMR 7.04(4)(a) incorporated herein by reference.</w:t>
            </w:r>
          </w:p>
        </w:tc>
      </w:tr>
      <w:tr w:rsidRPr="000F7AD5" w:rsidR="00CA54AA" w:rsidTr="00AD6E2B" w14:paraId="702D5735" w14:textId="77777777">
        <w:trPr>
          <w:cantSplit/>
          <w:trHeight w:val="786"/>
          <w:jc w:val="center"/>
        </w:trPr>
        <w:tc>
          <w:tcPr>
            <w:tcW w:w="1255" w:type="dxa"/>
            <w:vMerge/>
            <w:vAlign w:val="center"/>
          </w:tcPr>
          <w:p w:rsidRPr="000F7AD5" w:rsidR="00CA54AA" w:rsidP="00DC1FF2" w:rsidRDefault="00CA54AA" w14:paraId="2DD7D85E" w14:textId="240630B1">
            <w:pPr>
              <w:tabs>
                <w:tab w:val="left" w:pos="-720"/>
              </w:tabs>
              <w:suppressAutoHyphens/>
              <w:jc w:val="center"/>
              <w:rPr>
                <w:sz w:val="22"/>
                <w:szCs w:val="22"/>
              </w:rPr>
            </w:pPr>
          </w:p>
        </w:tc>
        <w:tc>
          <w:tcPr>
            <w:tcW w:w="8928" w:type="dxa"/>
            <w:tcBorders>
              <w:top w:val="single" w:color="auto" w:sz="4" w:space="0"/>
              <w:bottom w:val="single" w:color="auto" w:sz="4" w:space="0"/>
              <w:right w:val="single" w:color="auto" w:sz="4" w:space="0"/>
            </w:tcBorders>
            <w:vAlign w:val="center"/>
          </w:tcPr>
          <w:p w:rsidRPr="000F7AD5" w:rsidR="00CA54AA" w:rsidP="00DC1FF2" w:rsidRDefault="00CA54AA" w14:paraId="4C944BD0" w14:textId="49FE71BD">
            <w:pPr>
              <w:pStyle w:val="ListParagraph"/>
              <w:tabs>
                <w:tab w:val="left" w:pos="932"/>
              </w:tabs>
              <w:ind w:left="360" w:right="122" w:hanging="360"/>
              <w:rPr>
                <w:sz w:val="22"/>
              </w:rPr>
            </w:pPr>
            <w:r w:rsidRPr="000F7AD5">
              <w:rPr>
                <w:sz w:val="22"/>
              </w:rPr>
              <w:t>2</w:t>
            </w:r>
            <w:r>
              <w:rPr>
                <w:sz w:val="22"/>
              </w:rPr>
              <w:t>8</w:t>
            </w:r>
            <w:r w:rsidRPr="000F7AD5">
              <w:rPr>
                <w:sz w:val="22"/>
              </w:rPr>
              <w:t xml:space="preserve">. </w:t>
            </w:r>
            <w:r>
              <w:rPr>
                <w:sz w:val="22"/>
              </w:rPr>
              <w:t xml:space="preserve"> </w:t>
            </w:r>
            <w:r w:rsidRPr="000F7AD5">
              <w:rPr>
                <w:sz w:val="22"/>
              </w:rPr>
              <w:t xml:space="preserve">The Permittee shall monitor operations to assure that TTV (through the valve) filling is being used for its entire current shave cream (non-gel) products.  The Permittee must also monitor that for any new shave cream (non-gel) products, TTV filling is evaluated for technical feasibility, and used if technically feasible. </w:t>
            </w:r>
          </w:p>
        </w:tc>
      </w:tr>
      <w:tr w:rsidRPr="000F7AD5" w:rsidR="009205FE" w:rsidTr="008C53DD" w14:paraId="553A8C60" w14:textId="77777777">
        <w:trPr>
          <w:cantSplit/>
          <w:trHeight w:val="786"/>
          <w:jc w:val="center"/>
        </w:trPr>
        <w:tc>
          <w:tcPr>
            <w:tcW w:w="1255" w:type="dxa"/>
            <w:vMerge w:val="restart"/>
            <w:tcBorders>
              <w:left w:val="single" w:color="auto" w:sz="4" w:space="0"/>
              <w:right w:val="single" w:color="auto" w:sz="4" w:space="0"/>
            </w:tcBorders>
            <w:vAlign w:val="center"/>
          </w:tcPr>
          <w:p w:rsidRPr="000F7AD5" w:rsidR="009205FE" w:rsidP="00DC1FF2" w:rsidRDefault="009205FE" w14:paraId="167774A2" w14:textId="2A2272F2">
            <w:pPr>
              <w:tabs>
                <w:tab w:val="left" w:pos="-720"/>
              </w:tabs>
              <w:suppressAutoHyphens/>
              <w:jc w:val="center"/>
              <w:rPr>
                <w:sz w:val="22"/>
                <w:szCs w:val="22"/>
              </w:rPr>
            </w:pPr>
            <w:r>
              <w:rPr>
                <w:sz w:val="22"/>
                <w:szCs w:val="22"/>
              </w:rPr>
              <w:t>Facility-wide</w:t>
            </w: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9205FE" w:rsidP="00DC1FF2" w:rsidRDefault="009205FE" w14:paraId="7FC21F5F" w14:textId="02871331">
            <w:pPr>
              <w:pStyle w:val="ListParagraph"/>
              <w:tabs>
                <w:tab w:val="left" w:pos="932"/>
              </w:tabs>
              <w:ind w:left="360" w:right="122" w:hanging="360"/>
              <w:rPr>
                <w:sz w:val="22"/>
              </w:rPr>
            </w:pPr>
            <w:r w:rsidRPr="000F7AD5">
              <w:rPr>
                <w:sz w:val="22"/>
              </w:rPr>
              <w:t>2</w:t>
            </w:r>
            <w:r>
              <w:rPr>
                <w:sz w:val="22"/>
              </w:rPr>
              <w:t>9</w:t>
            </w:r>
            <w:r w:rsidRPr="000F7AD5">
              <w:rPr>
                <w:sz w:val="22"/>
              </w:rPr>
              <w:t xml:space="preserve">.  The Permittee shall monitor the sulfur content of each new shipment of fuel oil received.  Compliance with sulfur content shall be demonstrated through testing or maintaining a shipping receipt from the fuel supplier.  The shipment certification or testing of sulfur content of fuel oil shall be in accordance with the applicable American Society for Testing Materials (ASTM) test methods or any other method approved by MassDEP and </w:t>
            </w:r>
            <w:r>
              <w:rPr>
                <w:sz w:val="22"/>
              </w:rPr>
              <w:t>US</w:t>
            </w:r>
            <w:r w:rsidRPr="000F7AD5">
              <w:rPr>
                <w:sz w:val="22"/>
              </w:rPr>
              <w:t>EPA.</w:t>
            </w:r>
          </w:p>
        </w:tc>
      </w:tr>
      <w:tr w:rsidRPr="000F7AD5" w:rsidR="009205FE" w:rsidTr="008C53DD" w14:paraId="394EA471" w14:textId="77777777">
        <w:trPr>
          <w:cantSplit/>
          <w:trHeight w:val="786"/>
          <w:jc w:val="center"/>
        </w:trPr>
        <w:tc>
          <w:tcPr>
            <w:tcW w:w="1255" w:type="dxa"/>
            <w:vMerge/>
            <w:tcBorders>
              <w:left w:val="single" w:color="auto" w:sz="4" w:space="0"/>
              <w:right w:val="single" w:color="auto" w:sz="4" w:space="0"/>
            </w:tcBorders>
            <w:vAlign w:val="center"/>
          </w:tcPr>
          <w:p w:rsidRPr="000F7AD5" w:rsidR="009205FE" w:rsidP="00DC1FF2" w:rsidRDefault="009205FE" w14:paraId="42282B4C" w14:textId="23ED0EBF">
            <w:pPr>
              <w:tabs>
                <w:tab w:val="left" w:pos="-720"/>
              </w:tabs>
              <w:suppressAutoHyphens/>
              <w:jc w:val="center"/>
              <w:rPr>
                <w:sz w:val="22"/>
                <w:szCs w:val="22"/>
              </w:rPr>
            </w:pP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9205FE" w:rsidP="00DC1FF2" w:rsidRDefault="009205FE" w14:paraId="1A11D615" w14:textId="2548DC8C">
            <w:pPr>
              <w:pStyle w:val="ListParagraph"/>
              <w:tabs>
                <w:tab w:val="left" w:pos="932"/>
              </w:tabs>
              <w:ind w:left="360" w:right="122" w:hanging="360"/>
              <w:rPr>
                <w:sz w:val="22"/>
              </w:rPr>
            </w:pPr>
            <w:r>
              <w:rPr>
                <w:sz w:val="22"/>
              </w:rPr>
              <w:t>30</w:t>
            </w:r>
            <w:r w:rsidRPr="000F7AD5">
              <w:rPr>
                <w:sz w:val="22"/>
              </w:rPr>
              <w:t>.  The Permittee shall monitor all operations to ensure sufficient information is available to comply with 310 CMR 7.12 Source Registration</w:t>
            </w:r>
            <w:r w:rsidRPr="000F7AD5">
              <w:rPr>
                <w:rFonts w:eastAsia="Times New Roman" w:cs="Times New Roman"/>
                <w:color w:val="000000"/>
                <w:sz w:val="22"/>
              </w:rPr>
              <w:t xml:space="preserve"> </w:t>
            </w:r>
            <w:r w:rsidRPr="000F7AD5">
              <w:rPr>
                <w:sz w:val="22"/>
              </w:rPr>
              <w:t>and 310 CMR 7.71 Greenhouse Gas Reporting, as applicable.</w:t>
            </w:r>
          </w:p>
        </w:tc>
      </w:tr>
      <w:tr w:rsidRPr="000F7AD5" w:rsidR="009205FE" w:rsidTr="008C53DD" w14:paraId="75140B38" w14:textId="77777777">
        <w:trPr>
          <w:cantSplit/>
          <w:trHeight w:val="786"/>
          <w:jc w:val="center"/>
        </w:trPr>
        <w:tc>
          <w:tcPr>
            <w:tcW w:w="1255" w:type="dxa"/>
            <w:vMerge/>
            <w:tcBorders>
              <w:left w:val="single" w:color="auto" w:sz="4" w:space="0"/>
              <w:right w:val="single" w:color="auto" w:sz="4" w:space="0"/>
            </w:tcBorders>
            <w:vAlign w:val="center"/>
          </w:tcPr>
          <w:p w:rsidRPr="000F7AD5" w:rsidR="009205FE" w:rsidP="00DC1FF2" w:rsidRDefault="009205FE" w14:paraId="19076177" w14:textId="77B9240E">
            <w:pPr>
              <w:tabs>
                <w:tab w:val="left" w:pos="-720"/>
              </w:tabs>
              <w:suppressAutoHyphens/>
              <w:jc w:val="center"/>
              <w:rPr>
                <w:sz w:val="22"/>
                <w:szCs w:val="22"/>
              </w:rPr>
            </w:pP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9205FE" w:rsidP="00DC1FF2" w:rsidRDefault="009205FE" w14:paraId="4B32C09C" w14:textId="173A2D5A">
            <w:pPr>
              <w:pStyle w:val="ListParagraph"/>
              <w:tabs>
                <w:tab w:val="left" w:pos="932"/>
              </w:tabs>
              <w:ind w:left="360" w:right="122" w:hanging="360"/>
              <w:rPr>
                <w:sz w:val="22"/>
              </w:rPr>
            </w:pPr>
            <w:r w:rsidRPr="000F7AD5">
              <w:rPr>
                <w:sz w:val="22"/>
              </w:rPr>
              <w:t>3</w:t>
            </w:r>
            <w:r>
              <w:rPr>
                <w:sz w:val="22"/>
              </w:rPr>
              <w:t>1</w:t>
            </w:r>
            <w:r w:rsidRPr="000F7AD5">
              <w:rPr>
                <w:sz w:val="22"/>
              </w:rPr>
              <w:t>.  The Permittee shall monitor facility operations such that VOC are stored and disposed of in a manner that will minimize evaporation to the atmosphere.</w:t>
            </w:r>
          </w:p>
        </w:tc>
      </w:tr>
      <w:tr w:rsidRPr="000F7AD5" w:rsidR="009205FE" w:rsidTr="008C53DD" w14:paraId="0E053995" w14:textId="77777777">
        <w:trPr>
          <w:cantSplit/>
          <w:trHeight w:val="786"/>
          <w:jc w:val="center"/>
        </w:trPr>
        <w:tc>
          <w:tcPr>
            <w:tcW w:w="1255" w:type="dxa"/>
            <w:vMerge/>
            <w:tcBorders>
              <w:left w:val="single" w:color="auto" w:sz="4" w:space="0"/>
              <w:right w:val="single" w:color="auto" w:sz="4" w:space="0"/>
            </w:tcBorders>
            <w:vAlign w:val="center"/>
          </w:tcPr>
          <w:p w:rsidRPr="000F7AD5" w:rsidR="009205FE" w:rsidP="00DC1FF2" w:rsidRDefault="009205FE" w14:paraId="1CFF486D" w14:textId="23F54D6C">
            <w:pPr>
              <w:tabs>
                <w:tab w:val="left" w:pos="-720"/>
              </w:tabs>
              <w:suppressAutoHyphens/>
              <w:jc w:val="center"/>
              <w:rPr>
                <w:sz w:val="22"/>
                <w:szCs w:val="22"/>
              </w:rPr>
            </w:pP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9205FE" w:rsidP="00A6414E" w:rsidRDefault="009205FE" w14:paraId="4F5FE2FE" w14:textId="6626323B">
            <w:pPr>
              <w:spacing w:line="276" w:lineRule="auto"/>
              <w:ind w:left="403" w:hanging="360"/>
              <w:rPr>
                <w:sz w:val="22"/>
                <w:szCs w:val="22"/>
              </w:rPr>
            </w:pPr>
            <w:r w:rsidRPr="000F7AD5">
              <w:rPr>
                <w:rFonts w:eastAsiaTheme="minorHAnsi" w:cstheme="minorBidi"/>
                <w:sz w:val="22"/>
                <w:szCs w:val="22"/>
              </w:rPr>
              <w:t>3</w:t>
            </w:r>
            <w:r>
              <w:rPr>
                <w:rFonts w:eastAsiaTheme="minorHAnsi" w:cstheme="minorBidi"/>
                <w:sz w:val="22"/>
                <w:szCs w:val="22"/>
              </w:rPr>
              <w:t>2</w:t>
            </w:r>
            <w:r w:rsidRPr="000F7AD5">
              <w:rPr>
                <w:rFonts w:eastAsiaTheme="minorHAnsi" w:cstheme="minorBidi"/>
                <w:sz w:val="22"/>
                <w:szCs w:val="22"/>
              </w:rPr>
              <w:t xml:space="preserve">. The Permittee shall </w:t>
            </w:r>
            <w:r w:rsidRPr="000F7AD5">
              <w:rPr>
                <w:sz w:val="22"/>
                <w:szCs w:val="22"/>
              </w:rPr>
              <w:t>monitor facility operations such that the records of all monitoring data and supporting information are kept on site for a period of at least five (5) years from the date of the monitoring sample, measurement, or report.  Supporting information includes at a minimum, all calibration and maintenance records and all original strip chart recordings for continuous monitoring instrumentation, and copies of all reports required, and any other information required to interpret the monitoring data. Records required to be maintained shall include, where applicable:</w:t>
            </w:r>
          </w:p>
          <w:p w:rsidRPr="000F7AD5" w:rsidR="009205FE" w:rsidP="00063EE7" w:rsidRDefault="009205FE" w14:paraId="491AF16E" w14:textId="2C941C04">
            <w:pPr>
              <w:pStyle w:val="ListParagraph"/>
              <w:tabs>
                <w:tab w:val="left" w:pos="932"/>
              </w:tabs>
              <w:ind w:right="-345" w:hanging="360"/>
              <w:rPr>
                <w:sz w:val="22"/>
              </w:rPr>
            </w:pPr>
          </w:p>
          <w:p w:rsidRPr="000F7AD5" w:rsidR="009205FE" w:rsidP="00063EE7" w:rsidRDefault="009205FE" w14:paraId="38BD353F" w14:textId="56850B9A">
            <w:pPr>
              <w:pStyle w:val="ListParagraph"/>
              <w:tabs>
                <w:tab w:val="left" w:pos="932"/>
              </w:tabs>
              <w:ind w:right="-345" w:hanging="360"/>
              <w:rPr>
                <w:sz w:val="22"/>
              </w:rPr>
            </w:pPr>
            <w:r w:rsidRPr="000F7AD5">
              <w:rPr>
                <w:sz w:val="22"/>
              </w:rPr>
              <w:t>a)  The date, place as defined in the Permit, and time of sampling or measurements;</w:t>
            </w:r>
          </w:p>
          <w:p w:rsidRPr="000F7AD5" w:rsidR="009205FE" w:rsidP="00063EE7" w:rsidRDefault="009205FE" w14:paraId="4DB08DD3" w14:textId="77777777">
            <w:pPr>
              <w:pStyle w:val="ListParagraph"/>
              <w:tabs>
                <w:tab w:val="left" w:pos="932"/>
              </w:tabs>
              <w:ind w:right="-345" w:hanging="360"/>
              <w:rPr>
                <w:sz w:val="22"/>
              </w:rPr>
            </w:pPr>
            <w:r w:rsidRPr="000F7AD5">
              <w:rPr>
                <w:sz w:val="22"/>
              </w:rPr>
              <w:t>b)  the date(s) analyses were performed;</w:t>
            </w:r>
          </w:p>
          <w:p w:rsidRPr="000F7AD5" w:rsidR="009205FE" w:rsidP="00063EE7" w:rsidRDefault="009205FE" w14:paraId="093DACA0" w14:textId="77777777">
            <w:pPr>
              <w:pStyle w:val="ListParagraph"/>
              <w:tabs>
                <w:tab w:val="left" w:pos="932"/>
              </w:tabs>
              <w:ind w:right="-345" w:hanging="360"/>
              <w:rPr>
                <w:sz w:val="22"/>
              </w:rPr>
            </w:pPr>
            <w:r w:rsidRPr="000F7AD5">
              <w:rPr>
                <w:sz w:val="22"/>
              </w:rPr>
              <w:t>c)  the company or entity that performed the analyses;</w:t>
            </w:r>
          </w:p>
          <w:p w:rsidRPr="000F7AD5" w:rsidR="009205FE" w:rsidP="00063EE7" w:rsidRDefault="009205FE" w14:paraId="1E1428DB" w14:textId="77777777">
            <w:pPr>
              <w:pStyle w:val="ListParagraph"/>
              <w:tabs>
                <w:tab w:val="left" w:pos="932"/>
              </w:tabs>
              <w:ind w:right="-345" w:hanging="360"/>
              <w:rPr>
                <w:sz w:val="22"/>
              </w:rPr>
            </w:pPr>
            <w:r w:rsidRPr="000F7AD5">
              <w:rPr>
                <w:sz w:val="22"/>
              </w:rPr>
              <w:t>d)  the analytical techniques or methods used;</w:t>
            </w:r>
          </w:p>
          <w:p w:rsidRPr="000F7AD5" w:rsidR="009205FE" w:rsidP="00063EE7" w:rsidRDefault="009205FE" w14:paraId="06700BEA" w14:textId="77777777">
            <w:pPr>
              <w:pStyle w:val="ListParagraph"/>
              <w:tabs>
                <w:tab w:val="left" w:pos="932"/>
              </w:tabs>
              <w:ind w:right="-345" w:hanging="360"/>
              <w:rPr>
                <w:sz w:val="22"/>
              </w:rPr>
            </w:pPr>
            <w:r w:rsidRPr="000F7AD5">
              <w:rPr>
                <w:sz w:val="22"/>
              </w:rPr>
              <w:t>e)  the results of such analyses; and</w:t>
            </w:r>
          </w:p>
          <w:p w:rsidRPr="000F7AD5" w:rsidR="009205FE" w:rsidP="00063EE7" w:rsidRDefault="009205FE" w14:paraId="1385C5E2" w14:textId="77777777">
            <w:pPr>
              <w:pStyle w:val="ListParagraph"/>
              <w:tabs>
                <w:tab w:val="left" w:pos="932"/>
              </w:tabs>
              <w:ind w:right="-345" w:hanging="360"/>
              <w:rPr>
                <w:sz w:val="22"/>
              </w:rPr>
            </w:pPr>
            <w:r w:rsidRPr="000F7AD5">
              <w:rPr>
                <w:sz w:val="22"/>
              </w:rPr>
              <w:t>f)  the operating conditions as existing at the time of sampling or measurement.</w:t>
            </w:r>
          </w:p>
        </w:tc>
      </w:tr>
      <w:tr w:rsidRPr="000F7AD5" w:rsidR="009205FE" w:rsidTr="008C53DD" w14:paraId="17D40EF1" w14:textId="77777777">
        <w:trPr>
          <w:cantSplit/>
          <w:trHeight w:val="786"/>
          <w:jc w:val="center"/>
        </w:trPr>
        <w:tc>
          <w:tcPr>
            <w:tcW w:w="1255" w:type="dxa"/>
            <w:vMerge/>
            <w:tcBorders>
              <w:left w:val="single" w:color="auto" w:sz="4" w:space="0"/>
              <w:right w:val="single" w:color="auto" w:sz="4" w:space="0"/>
            </w:tcBorders>
            <w:vAlign w:val="center"/>
          </w:tcPr>
          <w:p w:rsidRPr="000F7AD5" w:rsidR="009205FE" w:rsidP="00DC1FF2" w:rsidRDefault="009205FE" w14:paraId="04BBE44D" w14:textId="5D797CA6">
            <w:pPr>
              <w:tabs>
                <w:tab w:val="left" w:pos="-720"/>
              </w:tabs>
              <w:suppressAutoHyphens/>
              <w:jc w:val="center"/>
              <w:rPr>
                <w:sz w:val="22"/>
                <w:szCs w:val="22"/>
              </w:rPr>
            </w:pP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9205FE" w:rsidP="00DC1FF2" w:rsidRDefault="009205FE" w14:paraId="3732181E" w14:textId="328EFAB1">
            <w:pPr>
              <w:pStyle w:val="ListParagraph"/>
              <w:tabs>
                <w:tab w:val="left" w:pos="932"/>
              </w:tabs>
              <w:ind w:left="360" w:right="122" w:hanging="360"/>
              <w:rPr>
                <w:sz w:val="22"/>
              </w:rPr>
            </w:pPr>
            <w:r w:rsidRPr="000F7AD5">
              <w:rPr>
                <w:sz w:val="22"/>
              </w:rPr>
              <w:t>3</w:t>
            </w:r>
            <w:r>
              <w:rPr>
                <w:sz w:val="22"/>
              </w:rPr>
              <w:t>3</w:t>
            </w:r>
            <w:r w:rsidRPr="000F7AD5">
              <w:rPr>
                <w:sz w:val="22"/>
              </w:rPr>
              <w:t>.  If and when MassDEP requires it, the Permittee shall conduct emission testing in accordance with USEPA Reference Test Methods and Regulation 310 CMR 7.13.</w:t>
            </w:r>
          </w:p>
        </w:tc>
      </w:tr>
      <w:tr w:rsidRPr="000F7AD5" w:rsidR="009205FE" w:rsidTr="008C53DD" w14:paraId="5304B26D" w14:textId="77777777">
        <w:trPr>
          <w:cantSplit/>
          <w:trHeight w:val="786"/>
          <w:jc w:val="center"/>
        </w:trPr>
        <w:tc>
          <w:tcPr>
            <w:tcW w:w="1255" w:type="dxa"/>
            <w:vMerge/>
            <w:tcBorders>
              <w:left w:val="single" w:color="auto" w:sz="4" w:space="0"/>
              <w:right w:val="single" w:color="auto" w:sz="4" w:space="0"/>
            </w:tcBorders>
            <w:vAlign w:val="center"/>
          </w:tcPr>
          <w:p w:rsidRPr="000F7AD5" w:rsidR="009205FE" w:rsidP="00DC1FF2" w:rsidRDefault="009205FE" w14:paraId="3D4DF770" w14:textId="2522AD85">
            <w:pPr>
              <w:tabs>
                <w:tab w:val="left" w:pos="-720"/>
              </w:tabs>
              <w:suppressAutoHyphens/>
              <w:jc w:val="center"/>
              <w:rPr>
                <w:sz w:val="22"/>
                <w:szCs w:val="22"/>
              </w:rPr>
            </w:pP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9205FE" w:rsidP="00DC1FF2" w:rsidRDefault="009205FE" w14:paraId="731A4CE4" w14:textId="6E0EA54E">
            <w:pPr>
              <w:pStyle w:val="ListParagraph"/>
              <w:tabs>
                <w:tab w:val="left" w:pos="932"/>
              </w:tabs>
              <w:ind w:left="360" w:right="122" w:hanging="360"/>
              <w:rPr>
                <w:sz w:val="22"/>
              </w:rPr>
            </w:pPr>
            <w:r w:rsidRPr="000F7AD5">
              <w:rPr>
                <w:sz w:val="22"/>
              </w:rPr>
              <w:t>3</w:t>
            </w:r>
            <w:r>
              <w:rPr>
                <w:sz w:val="22"/>
              </w:rPr>
              <w:t>4</w:t>
            </w:r>
            <w:r w:rsidRPr="000F7AD5">
              <w:rPr>
                <w:sz w:val="22"/>
              </w:rPr>
              <w:t>.  At least 30 days prior to emission testing, the Permittee shall submit to MassDEP for approval a stack emission pretest protocol.</w:t>
            </w:r>
          </w:p>
        </w:tc>
      </w:tr>
      <w:tr w:rsidRPr="000F7AD5" w:rsidR="009205FE" w:rsidTr="009F7CBC" w14:paraId="11613726" w14:textId="77777777">
        <w:trPr>
          <w:cantSplit/>
          <w:trHeight w:val="647"/>
          <w:jc w:val="center"/>
        </w:trPr>
        <w:tc>
          <w:tcPr>
            <w:tcW w:w="1255" w:type="dxa"/>
            <w:vMerge/>
            <w:tcBorders>
              <w:left w:val="single" w:color="auto" w:sz="4" w:space="0"/>
              <w:right w:val="single" w:color="auto" w:sz="4" w:space="0"/>
            </w:tcBorders>
            <w:vAlign w:val="center"/>
          </w:tcPr>
          <w:p w:rsidRPr="000F7AD5" w:rsidR="009205FE" w:rsidP="00DC1FF2" w:rsidRDefault="009205FE" w14:paraId="763DD324" w14:textId="3275E52E">
            <w:pPr>
              <w:tabs>
                <w:tab w:val="left" w:pos="-720"/>
              </w:tabs>
              <w:suppressAutoHyphens/>
              <w:jc w:val="center"/>
              <w:rPr>
                <w:sz w:val="22"/>
                <w:szCs w:val="22"/>
              </w:rPr>
            </w:pPr>
          </w:p>
        </w:tc>
        <w:tc>
          <w:tcPr>
            <w:tcW w:w="8928" w:type="dxa"/>
            <w:tcBorders>
              <w:top w:val="single" w:color="auto" w:sz="4" w:space="0"/>
              <w:left w:val="single" w:color="auto" w:sz="4" w:space="0"/>
              <w:bottom w:val="single" w:color="auto" w:sz="4" w:space="0"/>
              <w:right w:val="single" w:color="auto" w:sz="4" w:space="0"/>
            </w:tcBorders>
          </w:tcPr>
          <w:p w:rsidRPr="000F7AD5" w:rsidR="009205FE" w:rsidP="001E7331" w:rsidRDefault="009205FE" w14:paraId="3CD9FA39" w14:textId="59B1AE3C">
            <w:pPr>
              <w:pStyle w:val="ListParagraph"/>
              <w:tabs>
                <w:tab w:val="left" w:pos="932"/>
              </w:tabs>
              <w:ind w:left="360" w:right="122" w:hanging="360"/>
              <w:rPr>
                <w:sz w:val="22"/>
              </w:rPr>
            </w:pPr>
            <w:r w:rsidRPr="000F7AD5">
              <w:rPr>
                <w:sz w:val="22"/>
              </w:rPr>
              <w:t>3</w:t>
            </w:r>
            <w:r>
              <w:rPr>
                <w:sz w:val="22"/>
              </w:rPr>
              <w:t>5</w:t>
            </w:r>
            <w:r w:rsidRPr="000F7AD5">
              <w:rPr>
                <w:sz w:val="22"/>
              </w:rPr>
              <w:t>.  Within 60 days after emission testing, the Permittee shall submit to MassDEP a final stack emission test results report.</w:t>
            </w:r>
          </w:p>
        </w:tc>
      </w:tr>
      <w:tr w:rsidRPr="000F7AD5" w:rsidR="009205FE" w:rsidTr="008C53DD" w14:paraId="32414EE6" w14:textId="77777777">
        <w:trPr>
          <w:cantSplit/>
          <w:trHeight w:val="786"/>
          <w:jc w:val="center"/>
        </w:trPr>
        <w:tc>
          <w:tcPr>
            <w:tcW w:w="1255" w:type="dxa"/>
            <w:vMerge/>
            <w:tcBorders>
              <w:left w:val="single" w:color="auto" w:sz="4" w:space="0"/>
              <w:bottom w:val="single" w:color="auto" w:sz="4" w:space="0"/>
              <w:right w:val="single" w:color="auto" w:sz="4" w:space="0"/>
            </w:tcBorders>
            <w:vAlign w:val="center"/>
          </w:tcPr>
          <w:p w:rsidRPr="000F7AD5" w:rsidR="009205FE" w:rsidP="00DC1FF2" w:rsidRDefault="009205FE" w14:paraId="37FDDF47" w14:textId="77777777">
            <w:pPr>
              <w:tabs>
                <w:tab w:val="left" w:pos="-720"/>
              </w:tabs>
              <w:suppressAutoHyphens/>
              <w:jc w:val="center"/>
              <w:rPr>
                <w:sz w:val="22"/>
                <w:szCs w:val="22"/>
              </w:rPr>
            </w:pPr>
          </w:p>
        </w:tc>
        <w:tc>
          <w:tcPr>
            <w:tcW w:w="8928" w:type="dxa"/>
            <w:tcBorders>
              <w:top w:val="single" w:color="auto" w:sz="4" w:space="0"/>
              <w:left w:val="single" w:color="auto" w:sz="4" w:space="0"/>
              <w:bottom w:val="single" w:color="auto" w:sz="4" w:space="0"/>
              <w:right w:val="single" w:color="auto" w:sz="4" w:space="0"/>
            </w:tcBorders>
            <w:vAlign w:val="center"/>
          </w:tcPr>
          <w:p w:rsidRPr="000F7AD5" w:rsidR="009205FE" w:rsidP="00DC1FF2" w:rsidRDefault="009205FE" w14:paraId="216B73AC" w14:textId="26654BB5">
            <w:pPr>
              <w:pStyle w:val="ListParagraph"/>
              <w:tabs>
                <w:tab w:val="left" w:pos="932"/>
              </w:tabs>
              <w:ind w:left="360" w:right="122" w:hanging="360"/>
              <w:rPr>
                <w:sz w:val="22"/>
              </w:rPr>
            </w:pPr>
            <w:r w:rsidRPr="000F7AD5">
              <w:rPr>
                <w:sz w:val="22"/>
              </w:rPr>
              <w:t>3</w:t>
            </w:r>
            <w:r>
              <w:rPr>
                <w:sz w:val="22"/>
              </w:rPr>
              <w:t>6</w:t>
            </w:r>
            <w:r w:rsidRPr="000F7AD5">
              <w:rPr>
                <w:sz w:val="22"/>
              </w:rPr>
              <w:t>.  The Permittee shall monitor all operations to ensure compliance with the requirements contained in Table 2.</w:t>
            </w:r>
          </w:p>
        </w:tc>
      </w:tr>
    </w:tbl>
    <w:p w:rsidRPr="000F7AD5" w:rsidR="00285C5D" w:rsidP="00D728D6" w:rsidRDefault="00285C5D" w14:paraId="779F55E1" w14:textId="1F349335"/>
    <w:p w:rsidRPr="000F7AD5" w:rsidR="00CD48E1" w:rsidP="00D728D6" w:rsidRDefault="00CD48E1" w14:paraId="2F45AE18" w14:textId="77777777">
      <w:pPr>
        <w:sectPr w:rsidRPr="000F7AD5" w:rsidR="00CD48E1" w:rsidSect="00777A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144" w:gutter="0"/>
          <w:cols w:space="720"/>
          <w:titlePg/>
          <w:docGrid w:linePitch="360"/>
        </w:sectPr>
      </w:pPr>
    </w:p>
    <w:p w:rsidR="000D0963" w:rsidP="00A91D18" w:rsidRDefault="000D0963" w14:paraId="63D17B9C" w14:textId="77777777">
      <w:pPr>
        <w:rPr>
          <w:b/>
          <w:bCs/>
          <w:sz w:val="18"/>
          <w:szCs w:val="18"/>
        </w:rPr>
      </w:pPr>
    </w:p>
    <w:p w:rsidR="000D0963" w:rsidP="00A91D18" w:rsidRDefault="000D0963" w14:paraId="259B27D7" w14:textId="77777777">
      <w:pPr>
        <w:rPr>
          <w:b/>
          <w:bCs/>
          <w:sz w:val="18"/>
          <w:szCs w:val="18"/>
        </w:rPr>
      </w:pPr>
    </w:p>
    <w:p w:rsidR="000D0963" w:rsidP="00A91D18" w:rsidRDefault="000D0963" w14:paraId="52F2CCC8" w14:textId="77777777">
      <w:pPr>
        <w:rPr>
          <w:b/>
          <w:bCs/>
          <w:sz w:val="18"/>
          <w:szCs w:val="18"/>
        </w:rPr>
      </w:pPr>
    </w:p>
    <w:p w:rsidR="000D0963" w:rsidP="00A91D18" w:rsidRDefault="000D0963" w14:paraId="6954D89A" w14:textId="77777777">
      <w:pPr>
        <w:rPr>
          <w:b/>
          <w:bCs/>
          <w:sz w:val="18"/>
          <w:szCs w:val="18"/>
        </w:rPr>
      </w:pPr>
    </w:p>
    <w:p w:rsidR="000D0963" w:rsidP="00A91D18" w:rsidRDefault="000D0963" w14:paraId="4D2ACE4B" w14:textId="77777777">
      <w:pPr>
        <w:rPr>
          <w:b/>
          <w:bCs/>
          <w:sz w:val="18"/>
          <w:szCs w:val="18"/>
        </w:rPr>
      </w:pPr>
    </w:p>
    <w:p w:rsidRPr="000F7AD5" w:rsidR="00A91D18" w:rsidP="00A91D18" w:rsidRDefault="00DD6B49" w14:paraId="779F5614" w14:textId="77067105">
      <w:pPr>
        <w:rPr>
          <w:b/>
          <w:bCs/>
          <w:sz w:val="18"/>
          <w:szCs w:val="18"/>
        </w:rPr>
      </w:pPr>
      <w:r w:rsidRPr="000F7AD5">
        <w:rPr>
          <w:b/>
          <w:bCs/>
          <w:sz w:val="18"/>
          <w:szCs w:val="18"/>
        </w:rPr>
        <w:t>Table 3 Key:</w:t>
      </w:r>
      <w:r w:rsidRPr="000F7AD5" w:rsidR="00732187">
        <w:rPr>
          <w:b/>
          <w:bCs/>
          <w:sz w:val="18"/>
          <w:szCs w:val="18"/>
        </w:rPr>
        <w:t xml:space="preserve"> </w:t>
      </w:r>
      <w:bookmarkStart w:name="_Hlk3979036" w:id="9"/>
    </w:p>
    <w:bookmarkEnd w:id="9"/>
    <w:p w:rsidRPr="000F7AD5" w:rsidR="00F85337" w:rsidP="00A91D18" w:rsidRDefault="00F85337" w14:paraId="779F5615" w14:textId="77777777">
      <w:pPr>
        <w:rPr>
          <w:bCs/>
          <w:spacing w:val="-2"/>
          <w:sz w:val="18"/>
          <w:szCs w:val="18"/>
        </w:rPr>
      </w:pPr>
    </w:p>
    <w:tbl>
      <w:tblPr>
        <w:tblStyle w:val="TableGrid"/>
        <w:tblW w:w="972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0"/>
        <w:gridCol w:w="4770"/>
      </w:tblGrid>
      <w:tr w:rsidRPr="000F7AD5" w:rsidR="00DD15B7" w:rsidTr="005142AA" w14:paraId="779F561E" w14:textId="77777777">
        <w:trPr>
          <w:cantSplit/>
          <w:trHeight w:val="258"/>
        </w:trPr>
        <w:tc>
          <w:tcPr>
            <w:tcW w:w="4950" w:type="dxa"/>
          </w:tcPr>
          <w:p w:rsidRPr="000F7AD5" w:rsidR="00DD15B7" w:rsidP="000216A5" w:rsidRDefault="00DD15B7" w14:paraId="6D99EDA5" w14:textId="39C5915E">
            <w:pPr>
              <w:rPr>
                <w:rFonts w:cs="Courier New"/>
                <w:sz w:val="18"/>
                <w:szCs w:val="18"/>
              </w:rPr>
            </w:pPr>
            <w:bookmarkStart w:name="_Hlk3979046" w:id="10"/>
            <w:r w:rsidRPr="000F7AD5">
              <w:rPr>
                <w:sz w:val="18"/>
                <w:szCs w:val="18"/>
              </w:rPr>
              <w:t>EU = Emission Unit</w:t>
            </w:r>
          </w:p>
          <w:p w:rsidRPr="000F7AD5" w:rsidR="00DD15B7" w:rsidP="000216A5" w:rsidRDefault="00DD15B7" w14:paraId="7F3F78EE" w14:textId="48A4994D">
            <w:pPr>
              <w:rPr>
                <w:rFonts w:cs="Courier New"/>
                <w:sz w:val="18"/>
                <w:szCs w:val="18"/>
              </w:rPr>
            </w:pPr>
            <w:r w:rsidRPr="000F7AD5">
              <w:rPr>
                <w:rFonts w:cs="Courier New"/>
                <w:sz w:val="18"/>
                <w:szCs w:val="18"/>
              </w:rPr>
              <w:t xml:space="preserve">VOC = Volatile Organic Compounds </w:t>
            </w:r>
          </w:p>
          <w:p w:rsidRPr="000F7AD5" w:rsidR="00EA647B" w:rsidP="00EA647B" w:rsidRDefault="00EA647B" w14:paraId="48EEDE82" w14:textId="77777777">
            <w:pPr>
              <w:rPr>
                <w:rFonts w:cs="Courier New"/>
                <w:sz w:val="18"/>
                <w:szCs w:val="18"/>
              </w:rPr>
            </w:pPr>
            <w:r w:rsidRPr="000F7AD5">
              <w:rPr>
                <w:rFonts w:cs="Courier New"/>
                <w:sz w:val="18"/>
                <w:szCs w:val="18"/>
              </w:rPr>
              <w:t>NOx = Nitrogen Oxides</w:t>
            </w:r>
          </w:p>
          <w:p w:rsidRPr="000F7AD5" w:rsidR="00EA647B" w:rsidP="00EA647B" w:rsidRDefault="00EA647B" w14:paraId="69225829" w14:textId="0EDB0FAD">
            <w:pPr>
              <w:rPr>
                <w:rFonts w:cs="Courier New"/>
                <w:sz w:val="18"/>
                <w:szCs w:val="18"/>
              </w:rPr>
            </w:pPr>
            <w:r w:rsidRPr="000F7AD5">
              <w:rPr>
                <w:rFonts w:cs="Courier New"/>
                <w:sz w:val="18"/>
                <w:szCs w:val="18"/>
              </w:rPr>
              <w:t>SO</w:t>
            </w:r>
            <w:r w:rsidRPr="000F7AD5">
              <w:rPr>
                <w:rFonts w:cs="Courier New"/>
                <w:sz w:val="18"/>
                <w:szCs w:val="18"/>
                <w:vertAlign w:val="subscript"/>
              </w:rPr>
              <w:t xml:space="preserve">2 </w:t>
            </w:r>
            <w:r w:rsidRPr="000F7AD5">
              <w:rPr>
                <w:rFonts w:cs="Courier New"/>
                <w:sz w:val="18"/>
                <w:szCs w:val="18"/>
              </w:rPr>
              <w:t>= Sulfur Dioxide</w:t>
            </w:r>
          </w:p>
          <w:p w:rsidRPr="000F7AD5" w:rsidR="00EA647B" w:rsidP="00EA647B" w:rsidRDefault="00EA647B" w14:paraId="19283947" w14:textId="38618AC3">
            <w:pPr>
              <w:rPr>
                <w:rFonts w:cs="Courier New"/>
                <w:sz w:val="18"/>
                <w:szCs w:val="18"/>
              </w:rPr>
            </w:pPr>
            <w:r w:rsidRPr="000F7AD5">
              <w:rPr>
                <w:rFonts w:cs="Courier New"/>
                <w:sz w:val="18"/>
                <w:szCs w:val="18"/>
              </w:rPr>
              <w:t>CO = Carbon Monoxide</w:t>
            </w:r>
          </w:p>
          <w:p w:rsidRPr="000F7AD5" w:rsidR="00EA647B" w:rsidP="00EA647B" w:rsidRDefault="00EA647B" w14:paraId="08FCFA59" w14:textId="298F6779">
            <w:pPr>
              <w:rPr>
                <w:rFonts w:cs="Courier New"/>
                <w:sz w:val="18"/>
                <w:szCs w:val="18"/>
              </w:rPr>
            </w:pPr>
            <w:r w:rsidRPr="000F7AD5">
              <w:rPr>
                <w:rFonts w:cs="Courier New"/>
                <w:sz w:val="18"/>
                <w:szCs w:val="18"/>
              </w:rPr>
              <w:t>PM = Total Particulate Matter</w:t>
            </w:r>
          </w:p>
          <w:p w:rsidR="002D3EBC" w:rsidP="004C5D2B" w:rsidRDefault="002D3EBC" w14:paraId="0A0D0C47" w14:textId="263ACDDD">
            <w:pPr>
              <w:rPr>
                <w:rFonts w:cs="Courier New"/>
                <w:sz w:val="18"/>
                <w:szCs w:val="18"/>
              </w:rPr>
            </w:pPr>
            <w:r w:rsidRPr="002D3EBC">
              <w:rPr>
                <w:rFonts w:cs="Courier New"/>
                <w:sz w:val="18"/>
                <w:szCs w:val="18"/>
              </w:rPr>
              <w:t>PM</w:t>
            </w:r>
            <w:r w:rsidRPr="002D3EBC">
              <w:rPr>
                <w:rFonts w:cs="Courier New"/>
                <w:sz w:val="18"/>
                <w:szCs w:val="18"/>
                <w:vertAlign w:val="subscript"/>
              </w:rPr>
              <w:t>2.5</w:t>
            </w:r>
            <w:r w:rsidRPr="002D3EBC">
              <w:rPr>
                <w:rFonts w:cs="Courier New"/>
                <w:sz w:val="18"/>
                <w:szCs w:val="18"/>
              </w:rPr>
              <w:t xml:space="preserve"> = Particulate Matter less than or equal to 2.5 microns in diameter</w:t>
            </w:r>
          </w:p>
          <w:p w:rsidRPr="000F7AD5" w:rsidR="006744C6" w:rsidP="004C5D2B" w:rsidRDefault="006744C6" w14:paraId="1F4C2577" w14:textId="6545BB22">
            <w:pPr>
              <w:rPr>
                <w:rFonts w:cs="Courier New"/>
                <w:sz w:val="18"/>
                <w:szCs w:val="18"/>
              </w:rPr>
            </w:pPr>
            <w:r w:rsidRPr="000F7AD5">
              <w:rPr>
                <w:rFonts w:cs="Courier New"/>
                <w:sz w:val="18"/>
                <w:szCs w:val="18"/>
              </w:rPr>
              <w:t>HAP</w:t>
            </w:r>
            <w:r w:rsidRPr="000F7AD5" w:rsidR="00660D9D">
              <w:rPr>
                <w:rFonts w:cs="Courier New"/>
                <w:sz w:val="18"/>
                <w:szCs w:val="18"/>
              </w:rPr>
              <w:t xml:space="preserve"> = Hazardous Air Pollutants</w:t>
            </w:r>
          </w:p>
          <w:p w:rsidRPr="000F7AD5" w:rsidR="00DD15B7" w:rsidP="004C5D2B" w:rsidRDefault="00DD15B7" w14:paraId="779F561C" w14:textId="2D1F27F1">
            <w:pPr>
              <w:rPr>
                <w:rFonts w:cs="Courier New"/>
                <w:sz w:val="18"/>
                <w:szCs w:val="18"/>
              </w:rPr>
            </w:pPr>
            <w:r w:rsidRPr="000F7AD5">
              <w:rPr>
                <w:rFonts w:cs="Courier New"/>
                <w:sz w:val="18"/>
                <w:szCs w:val="18"/>
              </w:rPr>
              <w:t>PTE =</w:t>
            </w:r>
            <w:r w:rsidRPr="000F7AD5">
              <w:rPr>
                <w:sz w:val="18"/>
                <w:szCs w:val="18"/>
              </w:rPr>
              <w:t xml:space="preserve"> </w:t>
            </w:r>
            <w:r w:rsidRPr="000F7AD5">
              <w:rPr>
                <w:rFonts w:cs="Courier New"/>
                <w:sz w:val="18"/>
                <w:szCs w:val="18"/>
              </w:rPr>
              <w:t>Permanent Total Enclosure</w:t>
            </w:r>
          </w:p>
        </w:tc>
        <w:tc>
          <w:tcPr>
            <w:tcW w:w="4770" w:type="dxa"/>
            <w:vMerge w:val="restart"/>
          </w:tcPr>
          <w:p w:rsidRPr="000F7AD5" w:rsidR="00DD15B7" w:rsidP="004C5D2B" w:rsidRDefault="00DD15B7" w14:paraId="1906940A" w14:textId="77777777">
            <w:pPr>
              <w:rPr>
                <w:rFonts w:cs="Courier New"/>
                <w:sz w:val="18"/>
                <w:szCs w:val="18"/>
              </w:rPr>
            </w:pPr>
            <w:r w:rsidRPr="000F7AD5">
              <w:rPr>
                <w:rFonts w:cs="Courier New"/>
                <w:sz w:val="18"/>
                <w:szCs w:val="18"/>
              </w:rPr>
              <w:t>MassDEP = Massachusetts Department of Environmental Protection</w:t>
            </w:r>
          </w:p>
          <w:p w:rsidRPr="000F7AD5" w:rsidR="00DD15B7" w:rsidP="000216A5" w:rsidRDefault="00DD15B7" w14:paraId="2C6A11DC" w14:textId="77777777">
            <w:pPr>
              <w:rPr>
                <w:rFonts w:cs="Courier New"/>
                <w:sz w:val="18"/>
                <w:szCs w:val="18"/>
              </w:rPr>
            </w:pPr>
            <w:r w:rsidRPr="000F7AD5">
              <w:rPr>
                <w:rFonts w:cs="Courier New"/>
                <w:sz w:val="18"/>
                <w:szCs w:val="18"/>
              </w:rPr>
              <w:t xml:space="preserve">USEPA = United States Environmental Protection Agency </w:t>
            </w:r>
          </w:p>
          <w:p w:rsidRPr="000F7AD5" w:rsidR="00DD15B7" w:rsidP="004C5D2B" w:rsidRDefault="00DD15B7" w14:paraId="6FED3B74" w14:textId="77777777">
            <w:pPr>
              <w:rPr>
                <w:rFonts w:cs="Courier New"/>
                <w:sz w:val="18"/>
                <w:szCs w:val="18"/>
              </w:rPr>
            </w:pPr>
            <w:r w:rsidRPr="000F7AD5">
              <w:rPr>
                <w:rFonts w:cs="Courier New"/>
                <w:sz w:val="18"/>
                <w:szCs w:val="18"/>
              </w:rPr>
              <w:t>SOMP = Standard Operating and Maintenance Procedure</w:t>
            </w:r>
          </w:p>
          <w:p w:rsidRPr="000F7AD5" w:rsidR="00AC39D7" w:rsidP="004C5D2B" w:rsidRDefault="00AC39D7" w14:paraId="70FD8907" w14:textId="77777777">
            <w:pPr>
              <w:rPr>
                <w:rFonts w:cs="Courier New"/>
                <w:sz w:val="18"/>
                <w:szCs w:val="18"/>
              </w:rPr>
            </w:pPr>
            <w:r w:rsidRPr="000F7AD5">
              <w:rPr>
                <w:rFonts w:cs="Courier New"/>
                <w:sz w:val="18"/>
                <w:szCs w:val="18"/>
              </w:rPr>
              <w:t>CMR = Code of Massachusetts Regulations</w:t>
            </w:r>
          </w:p>
          <w:p w:rsidRPr="000F7AD5" w:rsidR="00654525" w:rsidP="004C5D2B" w:rsidRDefault="00FF06B7" w14:paraId="64FCEDE5" w14:textId="77777777">
            <w:pPr>
              <w:rPr>
                <w:rFonts w:cs="Courier New"/>
                <w:sz w:val="18"/>
                <w:szCs w:val="18"/>
              </w:rPr>
            </w:pPr>
            <w:r w:rsidRPr="000F7AD5">
              <w:rPr>
                <w:rFonts w:cs="Courier New"/>
                <w:sz w:val="18"/>
                <w:szCs w:val="18"/>
              </w:rPr>
              <w:t xml:space="preserve">RACT = </w:t>
            </w:r>
            <w:r w:rsidRPr="000F7AD5" w:rsidR="0020150F">
              <w:rPr>
                <w:rFonts w:cs="Courier New"/>
                <w:sz w:val="18"/>
                <w:szCs w:val="18"/>
              </w:rPr>
              <w:t>Reasonably Achievable Control Technology</w:t>
            </w:r>
          </w:p>
          <w:p w:rsidRPr="000F7AD5" w:rsidR="0020150F" w:rsidP="004C5D2B" w:rsidRDefault="0020150F" w14:paraId="58A14727" w14:textId="77777777">
            <w:pPr>
              <w:rPr>
                <w:rFonts w:cs="Courier New"/>
                <w:sz w:val="18"/>
                <w:szCs w:val="18"/>
              </w:rPr>
            </w:pPr>
            <w:r w:rsidRPr="000F7AD5">
              <w:rPr>
                <w:rFonts w:cs="Courier New"/>
                <w:sz w:val="18"/>
                <w:szCs w:val="18"/>
              </w:rPr>
              <w:t xml:space="preserve">SOP = </w:t>
            </w:r>
            <w:r w:rsidRPr="000F7AD5" w:rsidR="004A71C0">
              <w:rPr>
                <w:rFonts w:cs="Courier New"/>
                <w:sz w:val="18"/>
                <w:szCs w:val="18"/>
              </w:rPr>
              <w:t>Standard Operating Procedure</w:t>
            </w:r>
          </w:p>
          <w:p w:rsidRPr="000F7AD5" w:rsidR="001952E5" w:rsidP="001952E5" w:rsidRDefault="001952E5" w14:paraId="4AC23664" w14:textId="77777777">
            <w:pPr>
              <w:rPr>
                <w:rFonts w:cs="Courier New"/>
                <w:sz w:val="18"/>
                <w:szCs w:val="18"/>
              </w:rPr>
            </w:pPr>
            <w:r w:rsidRPr="000F7AD5">
              <w:rPr>
                <w:rFonts w:cs="Courier New"/>
                <w:sz w:val="18"/>
                <w:szCs w:val="18"/>
              </w:rPr>
              <w:t>BMS = Building Management System</w:t>
            </w:r>
          </w:p>
          <w:p w:rsidRPr="000F7AD5" w:rsidR="001952E5" w:rsidP="001952E5" w:rsidRDefault="001952E5" w14:paraId="4594873C" w14:textId="77777777">
            <w:pPr>
              <w:rPr>
                <w:rFonts w:cs="Courier New"/>
                <w:sz w:val="18"/>
                <w:szCs w:val="18"/>
              </w:rPr>
            </w:pPr>
            <w:r w:rsidRPr="000F7AD5">
              <w:rPr>
                <w:rFonts w:cs="Courier New"/>
                <w:sz w:val="18"/>
                <w:szCs w:val="18"/>
              </w:rPr>
              <w:t>CFR = Code of Federal Regulations</w:t>
            </w:r>
          </w:p>
          <w:p w:rsidRPr="000F7AD5" w:rsidR="00EB1F33" w:rsidP="004C5D2B" w:rsidRDefault="00EB1F33" w14:paraId="779F561D" w14:textId="4106594A">
            <w:pPr>
              <w:rPr>
                <w:rFonts w:cs="Courier New"/>
                <w:sz w:val="18"/>
                <w:szCs w:val="18"/>
              </w:rPr>
            </w:pPr>
          </w:p>
        </w:tc>
      </w:tr>
      <w:tr w:rsidRPr="000F7AD5" w:rsidR="00DD15B7" w:rsidTr="005142AA" w14:paraId="779F5624" w14:textId="77777777">
        <w:trPr>
          <w:cantSplit/>
          <w:trHeight w:val="603"/>
        </w:trPr>
        <w:tc>
          <w:tcPr>
            <w:tcW w:w="4950" w:type="dxa"/>
          </w:tcPr>
          <w:p w:rsidRPr="000F7AD5" w:rsidR="00DD15B7" w:rsidP="004C5D2B" w:rsidRDefault="00DD15B7" w14:paraId="374A8169" w14:textId="77777777">
            <w:pPr>
              <w:rPr>
                <w:rFonts w:cs="Courier New"/>
                <w:sz w:val="18"/>
                <w:szCs w:val="18"/>
              </w:rPr>
            </w:pPr>
            <w:r w:rsidRPr="000F7AD5">
              <w:rPr>
                <w:rFonts w:cs="Courier New"/>
                <w:sz w:val="18"/>
                <w:szCs w:val="18"/>
              </w:rPr>
              <w:t>≥ = greater than or equal to</w:t>
            </w:r>
          </w:p>
          <w:p w:rsidRPr="000F7AD5" w:rsidR="00D24452" w:rsidP="004C5D2B" w:rsidRDefault="00D24452" w14:paraId="25BD61EE" w14:textId="64633B50">
            <w:pPr>
              <w:rPr>
                <w:rFonts w:cs="Courier New"/>
                <w:sz w:val="18"/>
                <w:szCs w:val="18"/>
              </w:rPr>
            </w:pPr>
            <w:r w:rsidRPr="000F7AD5">
              <w:rPr>
                <w:rFonts w:cs="Courier New"/>
                <w:sz w:val="18"/>
                <w:szCs w:val="18"/>
              </w:rPr>
              <w:t>&gt; = greater than</w:t>
            </w:r>
          </w:p>
          <w:p w:rsidRPr="000F7AD5" w:rsidR="00C6427A" w:rsidP="001952E5" w:rsidRDefault="00C6427A" w14:paraId="779F5622" w14:textId="5F5E4AFB">
            <w:pPr>
              <w:rPr>
                <w:rFonts w:cs="Courier New"/>
                <w:sz w:val="18"/>
                <w:szCs w:val="18"/>
              </w:rPr>
            </w:pPr>
          </w:p>
        </w:tc>
        <w:tc>
          <w:tcPr>
            <w:tcW w:w="4770" w:type="dxa"/>
            <w:vMerge/>
          </w:tcPr>
          <w:p w:rsidRPr="000F7AD5" w:rsidR="00DD15B7" w:rsidP="004C5D2B" w:rsidRDefault="00DD15B7" w14:paraId="779F5623" w14:textId="5B525F5E">
            <w:pPr>
              <w:rPr>
                <w:rFonts w:cs="Courier New"/>
                <w:color w:val="FF0000"/>
                <w:sz w:val="18"/>
                <w:szCs w:val="18"/>
              </w:rPr>
            </w:pPr>
          </w:p>
        </w:tc>
      </w:tr>
      <w:bookmarkEnd w:id="10"/>
    </w:tbl>
    <w:p w:rsidRPr="000F7AD5" w:rsidR="00F93616" w:rsidRDefault="00F93616" w14:paraId="5C3D520D" w14:textId="77777777">
      <w:pPr>
        <w:rPr>
          <w:spacing w:val="-2"/>
        </w:rPr>
      </w:pPr>
    </w:p>
    <w:p w:rsidRPr="000F7AD5" w:rsidR="001C17B6" w:rsidRDefault="001C17B6" w14:paraId="67256EA8" w14:textId="0E838A68">
      <w:pPr>
        <w:rPr>
          <w:spacing w:val="-2"/>
        </w:rPr>
      </w:pPr>
      <w:r w:rsidRPr="000F7AD5">
        <w:rPr>
          <w:spacing w:val="-2"/>
        </w:rPr>
        <w:br w:type="page"/>
      </w:r>
    </w:p>
    <w:p w:rsidRPr="000F7AD5" w:rsidR="00A6759B" w:rsidP="002F16E2" w:rsidRDefault="00A6759B" w14:paraId="423BA62D" w14:textId="08C8C9DE">
      <w:pPr>
        <w:jc w:val="center"/>
        <w:rPr>
          <w:spacing w:val="-2"/>
          <w:sz w:val="28"/>
          <w:szCs w:val="28"/>
        </w:rPr>
      </w:pPr>
      <w:r w:rsidRPr="000F7AD5">
        <w:rPr>
          <w:b/>
          <w:spacing w:val="-2"/>
          <w:sz w:val="28"/>
          <w:szCs w:val="28"/>
        </w:rPr>
        <w:t>Table 4</w:t>
      </w:r>
    </w:p>
    <w:tbl>
      <w:tblPr>
        <w:tblW w:w="990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8550"/>
      </w:tblGrid>
      <w:tr w:rsidRPr="000F7AD5" w:rsidR="00A6759B" w:rsidTr="0024134A" w14:paraId="0721EE53" w14:textId="77777777">
        <w:trPr>
          <w:cantSplit/>
          <w:tblHeader/>
        </w:trPr>
        <w:tc>
          <w:tcPr>
            <w:tcW w:w="1350" w:type="dxa"/>
            <w:shd w:val="clear" w:color="auto" w:fill="E6E6E6"/>
            <w:vAlign w:val="center"/>
          </w:tcPr>
          <w:p w:rsidRPr="000F7AD5" w:rsidR="00A6759B" w:rsidP="00A6759B" w:rsidRDefault="00A6759B" w14:paraId="6A9862AC" w14:textId="4A9E4090">
            <w:pPr>
              <w:tabs>
                <w:tab w:val="left" w:pos="-720"/>
              </w:tabs>
              <w:suppressAutoHyphens/>
              <w:jc w:val="center"/>
              <w:rPr>
                <w:b/>
                <w:szCs w:val="20"/>
              </w:rPr>
            </w:pPr>
            <w:r w:rsidRPr="000F7AD5">
              <w:rPr>
                <w:b/>
                <w:szCs w:val="20"/>
              </w:rPr>
              <w:t>EU</w:t>
            </w:r>
          </w:p>
        </w:tc>
        <w:tc>
          <w:tcPr>
            <w:tcW w:w="8550" w:type="dxa"/>
            <w:shd w:val="clear" w:color="auto" w:fill="E6E6E6"/>
            <w:vAlign w:val="center"/>
          </w:tcPr>
          <w:p w:rsidRPr="000F7AD5" w:rsidR="00A6759B" w:rsidP="00A6759B" w:rsidRDefault="006D2B60" w14:paraId="730E500D" w14:textId="08B7CEDB">
            <w:pPr>
              <w:tabs>
                <w:tab w:val="left" w:pos="-720"/>
              </w:tabs>
              <w:suppressAutoHyphens/>
              <w:jc w:val="center"/>
              <w:rPr>
                <w:b/>
                <w:szCs w:val="20"/>
              </w:rPr>
            </w:pPr>
            <w:r w:rsidRPr="000F7AD5">
              <w:rPr>
                <w:b/>
                <w:spacing w:val="-2"/>
              </w:rPr>
              <w:t>Record Keeping Requirements</w:t>
            </w:r>
          </w:p>
        </w:tc>
      </w:tr>
      <w:tr w:rsidRPr="000F7AD5" w:rsidR="00A6759B" w:rsidTr="0007683F" w14:paraId="067D4A79" w14:textId="77777777">
        <w:trPr>
          <w:cantSplit/>
          <w:trHeight w:val="1547"/>
        </w:trPr>
        <w:tc>
          <w:tcPr>
            <w:tcW w:w="1350" w:type="dxa"/>
            <w:vMerge w:val="restart"/>
            <w:vAlign w:val="center"/>
          </w:tcPr>
          <w:p w:rsidRPr="000F7AD5" w:rsidR="00A6759B" w:rsidP="00A6759B" w:rsidRDefault="00A6759B" w14:paraId="3BC09356" w14:textId="77777777">
            <w:pPr>
              <w:tabs>
                <w:tab w:val="left" w:pos="-720"/>
              </w:tabs>
              <w:suppressAutoHyphens/>
              <w:jc w:val="center"/>
              <w:rPr>
                <w:sz w:val="22"/>
                <w:szCs w:val="22"/>
              </w:rPr>
            </w:pPr>
            <w:r w:rsidRPr="000F7AD5">
              <w:rPr>
                <w:sz w:val="22"/>
                <w:szCs w:val="22"/>
              </w:rPr>
              <w:t>EU1, EU3</w:t>
            </w:r>
          </w:p>
        </w:tc>
        <w:tc>
          <w:tcPr>
            <w:tcW w:w="8550" w:type="dxa"/>
            <w:vAlign w:val="center"/>
          </w:tcPr>
          <w:p w:rsidRPr="000F7AD5" w:rsidR="00A6759B" w:rsidP="00B145CC" w:rsidRDefault="004C4012" w14:paraId="65E11206" w14:textId="4A482739">
            <w:pPr>
              <w:pStyle w:val="ListParagraph"/>
              <w:numPr>
                <w:ilvl w:val="0"/>
                <w:numId w:val="13"/>
              </w:numPr>
              <w:tabs>
                <w:tab w:val="left" w:pos="-720"/>
              </w:tabs>
              <w:suppressAutoHyphens/>
              <w:ind w:left="406" w:hanging="404"/>
              <w:rPr>
                <w:sz w:val="22"/>
              </w:rPr>
            </w:pPr>
            <w:r w:rsidRPr="000F7AD5">
              <w:rPr>
                <w:sz w:val="22"/>
              </w:rPr>
              <w:t>The Permittee shall maintain</w:t>
            </w:r>
            <w:r w:rsidRPr="000F7AD5" w:rsidR="00A6759B">
              <w:rPr>
                <w:sz w:val="22"/>
              </w:rPr>
              <w:t xml:space="preserve"> a record of natural gas usage for the boilers on monthly and twelve-month rolling period (current month plus the sum of the previous eleven months) so that compliance with the fuel restrictions contained in Table 2 of this Plan Approval shall be documented.  Said records shall also a calculation of the resulting emissions from said usage.</w:t>
            </w:r>
          </w:p>
        </w:tc>
      </w:tr>
      <w:tr w:rsidRPr="000F7AD5" w:rsidR="00A6759B" w:rsidTr="0024134A" w14:paraId="2A5C76EB" w14:textId="77777777">
        <w:trPr>
          <w:cantSplit/>
          <w:trHeight w:val="705"/>
        </w:trPr>
        <w:tc>
          <w:tcPr>
            <w:tcW w:w="1350" w:type="dxa"/>
            <w:vMerge/>
            <w:vAlign w:val="center"/>
          </w:tcPr>
          <w:p w:rsidRPr="000F7AD5" w:rsidR="00A6759B" w:rsidP="00A6759B" w:rsidRDefault="00A6759B" w14:paraId="0F9EB2B7" w14:textId="77777777">
            <w:pPr>
              <w:tabs>
                <w:tab w:val="left" w:pos="-720"/>
              </w:tabs>
              <w:suppressAutoHyphens/>
              <w:jc w:val="center"/>
              <w:rPr>
                <w:sz w:val="22"/>
                <w:szCs w:val="22"/>
              </w:rPr>
            </w:pPr>
          </w:p>
        </w:tc>
        <w:tc>
          <w:tcPr>
            <w:tcW w:w="8550" w:type="dxa"/>
            <w:vAlign w:val="center"/>
          </w:tcPr>
          <w:p w:rsidRPr="000F7AD5" w:rsidR="00A6759B" w:rsidP="00B145CC" w:rsidRDefault="00A56A57" w14:paraId="563AD724" w14:textId="073AEB94">
            <w:pPr>
              <w:pStyle w:val="ListParagraph"/>
              <w:numPr>
                <w:ilvl w:val="0"/>
                <w:numId w:val="13"/>
              </w:numPr>
              <w:tabs>
                <w:tab w:val="left" w:pos="-720"/>
              </w:tabs>
              <w:suppressAutoHyphens/>
              <w:spacing w:before="18" w:after="126"/>
              <w:ind w:left="406"/>
              <w:rPr>
                <w:spacing w:val="-2"/>
                <w:sz w:val="22"/>
              </w:rPr>
            </w:pPr>
            <w:r w:rsidRPr="000F7AD5">
              <w:rPr>
                <w:spacing w:val="-2"/>
                <w:sz w:val="22"/>
              </w:rPr>
              <w:t xml:space="preserve">The Permittee shall maintain </w:t>
            </w:r>
            <w:r w:rsidRPr="000F7AD5" w:rsidR="00530952">
              <w:rPr>
                <w:spacing w:val="-2"/>
                <w:sz w:val="22"/>
              </w:rPr>
              <w:t>r</w:t>
            </w:r>
            <w:r w:rsidRPr="000F7AD5" w:rsidR="00A6759B">
              <w:rPr>
                <w:spacing w:val="-2"/>
                <w:sz w:val="22"/>
              </w:rPr>
              <w:t>ecord unit parameters, as necessary, to ensure continuous compliance with particulate emission limits.</w:t>
            </w:r>
          </w:p>
        </w:tc>
      </w:tr>
      <w:tr w:rsidRPr="000F7AD5" w:rsidR="00A6759B" w:rsidTr="0007683F" w14:paraId="6D48D3A8" w14:textId="77777777">
        <w:trPr>
          <w:cantSplit/>
          <w:trHeight w:val="962"/>
        </w:trPr>
        <w:tc>
          <w:tcPr>
            <w:tcW w:w="1350" w:type="dxa"/>
            <w:vMerge/>
            <w:vAlign w:val="center"/>
          </w:tcPr>
          <w:p w:rsidRPr="000F7AD5" w:rsidR="00A6759B" w:rsidP="00A6759B" w:rsidRDefault="00A6759B" w14:paraId="384ACBFF" w14:textId="77777777">
            <w:pPr>
              <w:tabs>
                <w:tab w:val="left" w:pos="-720"/>
              </w:tabs>
              <w:suppressAutoHyphens/>
              <w:jc w:val="center"/>
              <w:rPr>
                <w:sz w:val="22"/>
                <w:szCs w:val="22"/>
              </w:rPr>
            </w:pPr>
          </w:p>
        </w:tc>
        <w:tc>
          <w:tcPr>
            <w:tcW w:w="8550" w:type="dxa"/>
          </w:tcPr>
          <w:p w:rsidRPr="000F7AD5" w:rsidR="00A6759B" w:rsidP="00B145CC" w:rsidRDefault="00A6759B" w14:paraId="2880B913" w14:textId="6F3BAA36">
            <w:pPr>
              <w:pStyle w:val="ListParagraph"/>
              <w:numPr>
                <w:ilvl w:val="0"/>
                <w:numId w:val="13"/>
              </w:numPr>
              <w:tabs>
                <w:tab w:val="left" w:pos="0"/>
              </w:tabs>
              <w:suppressAutoHyphens/>
              <w:spacing w:line="240" w:lineRule="atLeast"/>
              <w:ind w:left="406"/>
              <w:jc w:val="both"/>
              <w:rPr>
                <w:spacing w:val="-2"/>
                <w:sz w:val="22"/>
              </w:rPr>
            </w:pPr>
            <w:r w:rsidRPr="000F7AD5">
              <w:rPr>
                <w:spacing w:val="-2"/>
                <w:sz w:val="22"/>
              </w:rPr>
              <w:t xml:space="preserve">In accordance with </w:t>
            </w:r>
            <w:r w:rsidRPr="00BA24A5">
              <w:rPr>
                <w:spacing w:val="-2"/>
                <w:sz w:val="22"/>
              </w:rPr>
              <w:t xml:space="preserve">310 CMR 7.04(4)(a), </w:t>
            </w:r>
            <w:r w:rsidRPr="00BA24A5" w:rsidR="00530952">
              <w:rPr>
                <w:spacing w:val="-2"/>
                <w:sz w:val="22"/>
              </w:rPr>
              <w:t>the</w:t>
            </w:r>
            <w:r w:rsidRPr="000F7AD5" w:rsidR="00530952">
              <w:rPr>
                <w:spacing w:val="-2"/>
                <w:sz w:val="22"/>
              </w:rPr>
              <w:t xml:space="preserve"> Permittee shall </w:t>
            </w:r>
            <w:r w:rsidRPr="000F7AD5">
              <w:rPr>
                <w:spacing w:val="-2"/>
                <w:sz w:val="22"/>
              </w:rPr>
              <w:t>maintain results of fuel utilization facility inspection, maintenance, and testing and the date upon which it was performed posted conspicuously on or near the facility.</w:t>
            </w:r>
          </w:p>
        </w:tc>
      </w:tr>
      <w:tr w:rsidRPr="000F7AD5" w:rsidR="00A6759B" w:rsidTr="000954E8" w14:paraId="41024FB5" w14:textId="77777777">
        <w:trPr>
          <w:cantSplit/>
          <w:trHeight w:val="1032"/>
        </w:trPr>
        <w:tc>
          <w:tcPr>
            <w:tcW w:w="1350" w:type="dxa"/>
            <w:vAlign w:val="center"/>
          </w:tcPr>
          <w:p w:rsidR="00535C2D" w:rsidP="000954E8" w:rsidRDefault="00A6759B" w14:paraId="1E23EC49" w14:textId="77777777">
            <w:pPr>
              <w:tabs>
                <w:tab w:val="left" w:pos="-720"/>
              </w:tabs>
              <w:suppressAutoHyphens/>
              <w:jc w:val="center"/>
              <w:rPr>
                <w:sz w:val="22"/>
                <w:szCs w:val="22"/>
                <w:lang w:val="pt-BR"/>
              </w:rPr>
            </w:pPr>
            <w:r w:rsidRPr="00453AAF">
              <w:rPr>
                <w:sz w:val="22"/>
                <w:szCs w:val="22"/>
                <w:lang w:val="pt-BR"/>
              </w:rPr>
              <w:t xml:space="preserve">EU5, </w:t>
            </w:r>
          </w:p>
          <w:p w:rsidRPr="00453AAF" w:rsidR="00A6759B" w:rsidP="000954E8" w:rsidRDefault="00A6759B" w14:paraId="2234EC82" w14:textId="7A1F4EEE">
            <w:pPr>
              <w:tabs>
                <w:tab w:val="left" w:pos="-720"/>
              </w:tabs>
              <w:suppressAutoHyphens/>
              <w:jc w:val="center"/>
              <w:rPr>
                <w:sz w:val="22"/>
                <w:szCs w:val="22"/>
                <w:lang w:val="pt-BR"/>
              </w:rPr>
            </w:pPr>
            <w:r w:rsidRPr="00453AAF">
              <w:rPr>
                <w:sz w:val="22"/>
                <w:szCs w:val="22"/>
                <w:lang w:val="pt-BR"/>
              </w:rPr>
              <w:t>EU10, EU12, EU17, EU19, EU25, EU26</w:t>
            </w:r>
            <w:r w:rsidRPr="00453AAF" w:rsidR="00615052">
              <w:rPr>
                <w:lang w:val="pt-BR"/>
              </w:rPr>
              <w:t xml:space="preserve"> </w:t>
            </w:r>
            <w:r w:rsidRPr="00453AAF" w:rsidR="00615052">
              <w:rPr>
                <w:sz w:val="22"/>
                <w:szCs w:val="22"/>
                <w:lang w:val="pt-BR"/>
              </w:rPr>
              <w:t>EU27, EU28, EU29</w:t>
            </w:r>
          </w:p>
        </w:tc>
        <w:tc>
          <w:tcPr>
            <w:tcW w:w="8550" w:type="dxa"/>
            <w:vAlign w:val="center"/>
          </w:tcPr>
          <w:p w:rsidRPr="000F7AD5" w:rsidR="00A6759B" w:rsidP="00B145CC" w:rsidRDefault="00530952" w14:paraId="6361FBB6" w14:textId="3608A794">
            <w:pPr>
              <w:pStyle w:val="ListParagraph"/>
              <w:numPr>
                <w:ilvl w:val="0"/>
                <w:numId w:val="13"/>
              </w:numPr>
              <w:tabs>
                <w:tab w:val="left" w:pos="-720"/>
              </w:tabs>
              <w:suppressAutoHyphens/>
              <w:ind w:left="406"/>
              <w:rPr>
                <w:sz w:val="22"/>
              </w:rPr>
            </w:pPr>
            <w:r w:rsidRPr="000F7AD5">
              <w:rPr>
                <w:sz w:val="22"/>
              </w:rPr>
              <w:t>The Permittee shall m</w:t>
            </w:r>
            <w:r w:rsidRPr="000F7AD5" w:rsidR="00A6759B">
              <w:rPr>
                <w:spacing w:val="-3"/>
                <w:sz w:val="22"/>
              </w:rPr>
              <w:t>aintain adequate monthly records to demonstrate that the VOC</w:t>
            </w:r>
            <w:r w:rsidR="00EF2D7C">
              <w:rPr>
                <w:spacing w:val="-3"/>
                <w:sz w:val="22"/>
              </w:rPr>
              <w:t xml:space="preserve">, </w:t>
            </w:r>
            <w:r w:rsidRPr="00EF2D7C" w:rsidR="00EF2D7C">
              <w:rPr>
                <w:spacing w:val="-3"/>
                <w:sz w:val="22"/>
              </w:rPr>
              <w:t>PM</w:t>
            </w:r>
            <w:r w:rsidRPr="00EF2D7C" w:rsidR="00EF2D7C">
              <w:rPr>
                <w:spacing w:val="-3"/>
                <w:sz w:val="22"/>
                <w:vertAlign w:val="subscript"/>
              </w:rPr>
              <w:t>2.5</w:t>
            </w:r>
            <w:r w:rsidR="00EF2D7C">
              <w:rPr>
                <w:spacing w:val="-3"/>
                <w:sz w:val="22"/>
              </w:rPr>
              <w:t xml:space="preserve">, </w:t>
            </w:r>
            <w:r w:rsidRPr="000F7AD5" w:rsidR="00A6759B">
              <w:rPr>
                <w:spacing w:val="-3"/>
                <w:sz w:val="22"/>
              </w:rPr>
              <w:t xml:space="preserve">and </w:t>
            </w:r>
            <w:r w:rsidRPr="002C4C0D" w:rsidR="002C4C0D">
              <w:rPr>
                <w:spacing w:val="-3"/>
                <w:sz w:val="22"/>
              </w:rPr>
              <w:t xml:space="preserve">single and total </w:t>
            </w:r>
            <w:r w:rsidRPr="000F7AD5" w:rsidR="00A6759B">
              <w:rPr>
                <w:spacing w:val="-3"/>
                <w:sz w:val="22"/>
              </w:rPr>
              <w:t xml:space="preserve">HAP emissions do not exceed the emission levels specified in Table 2 of </w:t>
            </w:r>
            <w:r w:rsidRPr="000F7AD5" w:rsidR="00A6759B">
              <w:rPr>
                <w:sz w:val="22"/>
              </w:rPr>
              <w:t>this Plan Approval</w:t>
            </w:r>
            <w:r w:rsidRPr="000F7AD5" w:rsidR="00A6759B">
              <w:rPr>
                <w:spacing w:val="-3"/>
                <w:sz w:val="22"/>
              </w:rPr>
              <w:t xml:space="preserve">.  At a minimum, the information shall include a list of the VOC-containing materials and HAP-containing materials used during the month, the VOC content of each material, and the actual emissions of VOC and </w:t>
            </w:r>
            <w:r w:rsidRPr="002C4C0D" w:rsidR="002C4C0D">
              <w:rPr>
                <w:spacing w:val="-3"/>
                <w:sz w:val="22"/>
              </w:rPr>
              <w:t xml:space="preserve">single and total </w:t>
            </w:r>
            <w:r w:rsidRPr="000F7AD5" w:rsidR="00A6759B">
              <w:rPr>
                <w:spacing w:val="-3"/>
                <w:sz w:val="22"/>
              </w:rPr>
              <w:t>HAP</w:t>
            </w:r>
            <w:r w:rsidR="002C4C0D">
              <w:rPr>
                <w:spacing w:val="-3"/>
                <w:sz w:val="22"/>
              </w:rPr>
              <w:t>s</w:t>
            </w:r>
            <w:r w:rsidRPr="000F7AD5" w:rsidR="00A6759B">
              <w:rPr>
                <w:spacing w:val="-3"/>
                <w:sz w:val="22"/>
              </w:rPr>
              <w:t xml:space="preserve"> for the month as well as the prior 11 months</w:t>
            </w:r>
            <w:r w:rsidRPr="000F7AD5" w:rsidR="00A6759B">
              <w:rPr>
                <w:sz w:val="22"/>
              </w:rPr>
              <w:t xml:space="preserve">.  The MassDEP approved On-Site Record Keeping Form can be downloaded at </w:t>
            </w:r>
            <w:hyperlink w:history="1" w:anchor="WorkbookforReportingOn-SiteRecordKeeping" r:id="rId14">
              <w:r w:rsidRPr="000F7AD5" w:rsidR="00FD7C32">
                <w:rPr>
                  <w:rStyle w:val="Hyperlink"/>
                  <w:sz w:val="22"/>
                </w:rPr>
                <w:t>https://www.mass.gov/guides/massdep-facility-wide-emission-restrictions-caps-reporting#WorkbookforReportingOn-SiteRecordKeeping</w:t>
              </w:r>
            </w:hyperlink>
            <w:r w:rsidRPr="000F7AD5" w:rsidR="00FD7C32">
              <w:rPr>
                <w:sz w:val="22"/>
              </w:rPr>
              <w:t>.</w:t>
            </w:r>
            <w:r w:rsidRPr="000F7AD5" w:rsidR="00A6759B">
              <w:rPr>
                <w:sz w:val="22"/>
              </w:rPr>
              <w:t xml:space="preserve"> </w:t>
            </w:r>
            <w:r w:rsidRPr="000F7AD5" w:rsidR="00A6759B">
              <w:rPr>
                <w:spacing w:val="-3"/>
                <w:sz w:val="22"/>
              </w:rPr>
              <w:t>These records shall be maintained on site for a minimum of five (5) years and shall be made available to MassDEP personnel upon request.</w:t>
            </w:r>
          </w:p>
        </w:tc>
      </w:tr>
      <w:tr w:rsidRPr="000F7AD5" w:rsidR="009205FE" w:rsidTr="0007683F" w14:paraId="752FA3A0" w14:textId="77777777">
        <w:trPr>
          <w:cantSplit/>
          <w:trHeight w:val="1628"/>
        </w:trPr>
        <w:tc>
          <w:tcPr>
            <w:tcW w:w="1350" w:type="dxa"/>
            <w:vMerge w:val="restart"/>
            <w:vAlign w:val="center"/>
          </w:tcPr>
          <w:p w:rsidRPr="000F7AD5" w:rsidR="009205FE" w:rsidP="00915A17" w:rsidRDefault="009205FE" w14:paraId="363E199D" w14:textId="4711FEF7">
            <w:pPr>
              <w:tabs>
                <w:tab w:val="left" w:pos="-720"/>
              </w:tabs>
              <w:suppressAutoHyphens/>
              <w:jc w:val="center"/>
              <w:rPr>
                <w:sz w:val="22"/>
                <w:szCs w:val="22"/>
              </w:rPr>
            </w:pPr>
            <w:r w:rsidRPr="000F7AD5">
              <w:rPr>
                <w:sz w:val="22"/>
                <w:szCs w:val="22"/>
              </w:rPr>
              <w:t>EU12</w:t>
            </w:r>
          </w:p>
        </w:tc>
        <w:tc>
          <w:tcPr>
            <w:tcW w:w="8550" w:type="dxa"/>
            <w:vAlign w:val="center"/>
          </w:tcPr>
          <w:p w:rsidRPr="000F7AD5" w:rsidR="009205FE" w:rsidP="00B145CC" w:rsidRDefault="009205FE" w14:paraId="747CDCCD" w14:textId="6F241C11">
            <w:pPr>
              <w:pStyle w:val="ListParagraph"/>
              <w:numPr>
                <w:ilvl w:val="0"/>
                <w:numId w:val="13"/>
              </w:numPr>
              <w:tabs>
                <w:tab w:val="left" w:pos="-720"/>
              </w:tabs>
              <w:suppressAutoHyphens/>
              <w:ind w:left="406"/>
              <w:rPr>
                <w:sz w:val="22"/>
              </w:rPr>
            </w:pPr>
            <w:r w:rsidRPr="000F7AD5">
              <w:rPr>
                <w:sz w:val="22"/>
              </w:rPr>
              <w:t>The Permittee shall maintain result reports from the semi-annual inspection of all components of the Tank Farm and outdoor piping and all repair records as a result of the Tank Farm Leak Detection and Repair program must be maintained in the RACT Compliance Files for at least five (5) years and must be made available for DEP and USEPA inspection.</w:t>
            </w:r>
          </w:p>
        </w:tc>
      </w:tr>
      <w:tr w:rsidRPr="000F7AD5" w:rsidR="009205FE" w:rsidTr="0024134A" w14:paraId="30624DDD" w14:textId="77777777">
        <w:trPr>
          <w:cantSplit/>
        </w:trPr>
        <w:tc>
          <w:tcPr>
            <w:tcW w:w="1350" w:type="dxa"/>
            <w:vMerge/>
            <w:vAlign w:val="center"/>
          </w:tcPr>
          <w:p w:rsidRPr="000F7AD5" w:rsidR="009205FE" w:rsidP="00A6759B" w:rsidRDefault="009205FE" w14:paraId="3FA51468" w14:textId="00477731">
            <w:pPr>
              <w:tabs>
                <w:tab w:val="left" w:pos="-720"/>
              </w:tabs>
              <w:suppressAutoHyphens/>
              <w:jc w:val="center"/>
              <w:rPr>
                <w:sz w:val="22"/>
                <w:szCs w:val="22"/>
              </w:rPr>
            </w:pPr>
          </w:p>
        </w:tc>
        <w:tc>
          <w:tcPr>
            <w:tcW w:w="8550" w:type="dxa"/>
            <w:vAlign w:val="center"/>
          </w:tcPr>
          <w:p w:rsidRPr="000F7AD5" w:rsidR="009205FE" w:rsidP="00B145CC" w:rsidRDefault="009205FE" w14:paraId="6F7681E6" w14:textId="35F1CA5C">
            <w:pPr>
              <w:pStyle w:val="ListParagraph"/>
              <w:numPr>
                <w:ilvl w:val="0"/>
                <w:numId w:val="13"/>
              </w:numPr>
              <w:tabs>
                <w:tab w:val="left" w:pos="-720"/>
              </w:tabs>
              <w:suppressAutoHyphens/>
              <w:ind w:left="406"/>
              <w:rPr>
                <w:sz w:val="22"/>
              </w:rPr>
            </w:pPr>
            <w:r w:rsidRPr="000F7AD5">
              <w:rPr>
                <w:spacing w:val="-3"/>
                <w:sz w:val="22"/>
              </w:rPr>
              <w:t xml:space="preserve">The Permittee shall maintain a record of Tank Farm operator training. </w:t>
            </w:r>
          </w:p>
        </w:tc>
      </w:tr>
      <w:tr w:rsidRPr="000F7AD5" w:rsidR="009205FE" w:rsidTr="0024134A" w14:paraId="4D100AA0" w14:textId="77777777">
        <w:trPr>
          <w:cantSplit/>
        </w:trPr>
        <w:tc>
          <w:tcPr>
            <w:tcW w:w="1350" w:type="dxa"/>
            <w:vMerge/>
            <w:vAlign w:val="center"/>
          </w:tcPr>
          <w:p w:rsidRPr="000F7AD5" w:rsidR="009205FE" w:rsidP="00A6759B" w:rsidRDefault="009205FE" w14:paraId="4651F41F" w14:textId="77777777">
            <w:pPr>
              <w:tabs>
                <w:tab w:val="left" w:pos="-720"/>
              </w:tabs>
              <w:suppressAutoHyphens/>
              <w:jc w:val="center"/>
              <w:rPr>
                <w:strike/>
                <w:sz w:val="22"/>
                <w:szCs w:val="22"/>
              </w:rPr>
            </w:pPr>
          </w:p>
        </w:tc>
        <w:tc>
          <w:tcPr>
            <w:tcW w:w="8550" w:type="dxa"/>
            <w:vAlign w:val="center"/>
          </w:tcPr>
          <w:p w:rsidRPr="000F7AD5" w:rsidR="009205FE" w:rsidP="00B145CC" w:rsidRDefault="009205FE" w14:paraId="510F2520" w14:textId="4AC356F9">
            <w:pPr>
              <w:pStyle w:val="ListParagraph"/>
              <w:numPr>
                <w:ilvl w:val="0"/>
                <w:numId w:val="13"/>
              </w:numPr>
              <w:tabs>
                <w:tab w:val="left" w:pos="-720"/>
              </w:tabs>
              <w:suppressAutoHyphens/>
              <w:ind w:left="406"/>
              <w:rPr>
                <w:spacing w:val="-3"/>
                <w:sz w:val="22"/>
              </w:rPr>
            </w:pPr>
            <w:r w:rsidRPr="000F7AD5">
              <w:rPr>
                <w:spacing w:val="-3"/>
                <w:sz w:val="22"/>
              </w:rPr>
              <w:t>The Permittee’s Tank Farm operator shall record information about each tank truck delivery, including the date, propellant type, and the operator's initials.  These records shall be kept in the RACT Compliance Files for at least five (5) years and must be made available for DEP and USEPA inspection.</w:t>
            </w:r>
          </w:p>
        </w:tc>
      </w:tr>
      <w:tr w:rsidRPr="000F7AD5" w:rsidR="00A6759B" w:rsidTr="0024134A" w14:paraId="1E9E7A6C" w14:textId="77777777">
        <w:trPr>
          <w:cantSplit/>
          <w:trHeight w:val="1146"/>
        </w:trPr>
        <w:tc>
          <w:tcPr>
            <w:tcW w:w="1350" w:type="dxa"/>
            <w:vAlign w:val="center"/>
          </w:tcPr>
          <w:p w:rsidRPr="000F7AD5" w:rsidR="00A6759B" w:rsidP="00880D59" w:rsidRDefault="00A6759B" w14:paraId="3E5FB095" w14:textId="21A5E3FF">
            <w:pPr>
              <w:tabs>
                <w:tab w:val="left" w:pos="-720"/>
              </w:tabs>
              <w:suppressAutoHyphens/>
              <w:jc w:val="center"/>
              <w:rPr>
                <w:sz w:val="22"/>
                <w:szCs w:val="22"/>
              </w:rPr>
            </w:pPr>
            <w:r w:rsidRPr="000F7AD5">
              <w:rPr>
                <w:sz w:val="22"/>
                <w:szCs w:val="22"/>
              </w:rPr>
              <w:t>EU13, EU14</w:t>
            </w:r>
            <w:r w:rsidRPr="000F7AD5" w:rsidR="00880D59">
              <w:rPr>
                <w:sz w:val="22"/>
                <w:szCs w:val="22"/>
              </w:rPr>
              <w:t xml:space="preserve">, </w:t>
            </w:r>
            <w:r w:rsidRPr="000F7AD5">
              <w:rPr>
                <w:sz w:val="22"/>
                <w:szCs w:val="22"/>
              </w:rPr>
              <w:t>EU23, EU24</w:t>
            </w:r>
          </w:p>
        </w:tc>
        <w:tc>
          <w:tcPr>
            <w:tcW w:w="8550" w:type="dxa"/>
            <w:vAlign w:val="center"/>
          </w:tcPr>
          <w:p w:rsidRPr="000F7AD5" w:rsidR="00A6759B" w:rsidP="00B145CC" w:rsidRDefault="0076748D" w14:paraId="780623F6" w14:textId="63382B92">
            <w:pPr>
              <w:pStyle w:val="ListParagraph"/>
              <w:numPr>
                <w:ilvl w:val="0"/>
                <w:numId w:val="13"/>
              </w:numPr>
              <w:tabs>
                <w:tab w:val="left" w:pos="-720"/>
              </w:tabs>
              <w:suppressAutoHyphens/>
              <w:ind w:left="406"/>
              <w:rPr>
                <w:sz w:val="22"/>
              </w:rPr>
            </w:pPr>
            <w:r w:rsidRPr="000F7AD5">
              <w:rPr>
                <w:sz w:val="22"/>
              </w:rPr>
              <w:t>The Permittee shall m</w:t>
            </w:r>
            <w:r w:rsidRPr="000F7AD5" w:rsidR="00A6759B">
              <w:rPr>
                <w:sz w:val="22"/>
              </w:rPr>
              <w:t>aintain a record of fuel consumption for these emission units on a monthly and twelve-month rolling period (current month plus the sum of the previous eleven months). Said records shall also include the sulfur content of the fuel oil used and a calculation of the resulting emissions from said usage.</w:t>
            </w:r>
          </w:p>
        </w:tc>
      </w:tr>
      <w:tr w:rsidRPr="000F7AD5" w:rsidR="00A6759B" w:rsidTr="0024134A" w14:paraId="7D31AF77" w14:textId="77777777">
        <w:trPr>
          <w:cantSplit/>
          <w:trHeight w:val="885"/>
        </w:trPr>
        <w:tc>
          <w:tcPr>
            <w:tcW w:w="1350" w:type="dxa"/>
            <w:vAlign w:val="center"/>
          </w:tcPr>
          <w:p w:rsidRPr="00453AAF" w:rsidR="00A6759B" w:rsidP="00A6759B" w:rsidRDefault="00A6759B" w14:paraId="40CB43FF" w14:textId="77777777">
            <w:pPr>
              <w:tabs>
                <w:tab w:val="left" w:pos="-720"/>
              </w:tabs>
              <w:suppressAutoHyphens/>
              <w:jc w:val="center"/>
              <w:rPr>
                <w:sz w:val="22"/>
                <w:szCs w:val="22"/>
                <w:lang w:val="pt-BR"/>
              </w:rPr>
            </w:pPr>
            <w:r w:rsidRPr="00453AAF">
              <w:rPr>
                <w:sz w:val="22"/>
                <w:szCs w:val="22"/>
                <w:lang w:val="pt-BR"/>
              </w:rPr>
              <w:t>EU1, EU3, EU13, EU14, EU23, EU24</w:t>
            </w:r>
          </w:p>
        </w:tc>
        <w:tc>
          <w:tcPr>
            <w:tcW w:w="8550" w:type="dxa"/>
            <w:vAlign w:val="center"/>
          </w:tcPr>
          <w:p w:rsidRPr="000F7AD5" w:rsidR="00A6759B" w:rsidP="00B145CC" w:rsidRDefault="0076748D" w14:paraId="50FC6168" w14:textId="3AE0B262">
            <w:pPr>
              <w:pStyle w:val="ListParagraph"/>
              <w:numPr>
                <w:ilvl w:val="0"/>
                <w:numId w:val="13"/>
              </w:numPr>
              <w:tabs>
                <w:tab w:val="left" w:pos="-720"/>
              </w:tabs>
              <w:suppressAutoHyphens/>
              <w:ind w:left="406"/>
              <w:rPr>
                <w:sz w:val="22"/>
              </w:rPr>
            </w:pPr>
            <w:r w:rsidRPr="000F7AD5">
              <w:rPr>
                <w:sz w:val="22"/>
              </w:rPr>
              <w:t>The Permittee shall m</w:t>
            </w:r>
            <w:r w:rsidRPr="000F7AD5" w:rsidR="00A6759B">
              <w:rPr>
                <w:sz w:val="22"/>
              </w:rPr>
              <w:t>aintain on file fuel purchase receipts for each unit.</w:t>
            </w:r>
          </w:p>
        </w:tc>
      </w:tr>
      <w:tr w:rsidRPr="000F7AD5" w:rsidR="00A6759B" w:rsidTr="0024134A" w14:paraId="3E65DBB8" w14:textId="77777777">
        <w:trPr>
          <w:cantSplit/>
          <w:trHeight w:val="588"/>
        </w:trPr>
        <w:tc>
          <w:tcPr>
            <w:tcW w:w="1350" w:type="dxa"/>
            <w:vAlign w:val="center"/>
          </w:tcPr>
          <w:p w:rsidRPr="000F7AD5" w:rsidR="00A6759B" w:rsidP="00A6759B" w:rsidRDefault="00A6759B" w14:paraId="76255C84" w14:textId="77777777">
            <w:pPr>
              <w:tabs>
                <w:tab w:val="left" w:pos="-720"/>
              </w:tabs>
              <w:suppressAutoHyphens/>
              <w:jc w:val="center"/>
              <w:rPr>
                <w:sz w:val="22"/>
                <w:szCs w:val="22"/>
              </w:rPr>
            </w:pPr>
            <w:r w:rsidRPr="000F7AD5">
              <w:rPr>
                <w:sz w:val="22"/>
                <w:szCs w:val="22"/>
              </w:rPr>
              <w:t>EU17</w:t>
            </w:r>
          </w:p>
        </w:tc>
        <w:tc>
          <w:tcPr>
            <w:tcW w:w="8550" w:type="dxa"/>
            <w:vAlign w:val="center"/>
          </w:tcPr>
          <w:p w:rsidRPr="000F7AD5" w:rsidR="00DE2648" w:rsidP="00B145CC" w:rsidRDefault="008103A4" w14:paraId="3E6451CB" w14:textId="367ADB7B">
            <w:pPr>
              <w:pStyle w:val="ListParagraph"/>
              <w:numPr>
                <w:ilvl w:val="0"/>
                <w:numId w:val="13"/>
              </w:numPr>
              <w:tabs>
                <w:tab w:val="left" w:pos="0"/>
              </w:tabs>
              <w:suppressAutoHyphens/>
              <w:ind w:left="406"/>
              <w:rPr>
                <w:spacing w:val="-3"/>
                <w:sz w:val="22"/>
              </w:rPr>
            </w:pPr>
            <w:r w:rsidRPr="000F7AD5">
              <w:rPr>
                <w:sz w:val="22"/>
              </w:rPr>
              <w:t>The Permittee shall maintain a</w:t>
            </w:r>
            <w:r w:rsidRPr="000F7AD5" w:rsidR="00801887">
              <w:rPr>
                <w:sz w:val="22"/>
              </w:rPr>
              <w:t xml:space="preserve"> </w:t>
            </w:r>
            <w:r w:rsidRPr="000F7AD5" w:rsidR="007E5053">
              <w:rPr>
                <w:sz w:val="22"/>
              </w:rPr>
              <w:t>continuous</w:t>
            </w:r>
            <w:r w:rsidRPr="000F7AD5" w:rsidR="00A6759B">
              <w:rPr>
                <w:spacing w:val="-3"/>
                <w:sz w:val="22"/>
              </w:rPr>
              <w:t xml:space="preserve"> record keeping system on-site.  All records shall be maintained up to date such that year-to-date information is readily available for MassDEP examination.  Recordkeeping shall, at a minimum, include: </w:t>
            </w:r>
          </w:p>
          <w:p w:rsidRPr="000F7AD5" w:rsidR="00B321AF" w:rsidP="00B145CC" w:rsidRDefault="00A6759B" w14:paraId="00AA057B" w14:textId="77777777">
            <w:pPr>
              <w:pStyle w:val="ListParagraph"/>
              <w:numPr>
                <w:ilvl w:val="0"/>
                <w:numId w:val="14"/>
              </w:numPr>
              <w:tabs>
                <w:tab w:val="left" w:pos="0"/>
              </w:tabs>
              <w:suppressAutoHyphens/>
              <w:ind w:right="166"/>
              <w:rPr>
                <w:spacing w:val="-3"/>
                <w:sz w:val="22"/>
              </w:rPr>
            </w:pPr>
            <w:r w:rsidRPr="000F7AD5">
              <w:rPr>
                <w:spacing w:val="-3"/>
                <w:sz w:val="22"/>
              </w:rPr>
              <w:t>Maintenance.  A record of routine maintenance activities including, at a minimum, a description of the maintenance performed and the date and time the work was completed.</w:t>
            </w:r>
          </w:p>
          <w:p w:rsidRPr="000F7AD5" w:rsidR="00595B56" w:rsidP="00B145CC" w:rsidRDefault="00A6759B" w14:paraId="2EE8E6FF" w14:textId="77777777">
            <w:pPr>
              <w:pStyle w:val="ListParagraph"/>
              <w:numPr>
                <w:ilvl w:val="0"/>
                <w:numId w:val="14"/>
              </w:numPr>
              <w:tabs>
                <w:tab w:val="left" w:pos="0"/>
              </w:tabs>
              <w:suppressAutoHyphens/>
              <w:ind w:right="166"/>
              <w:rPr>
                <w:spacing w:val="-3"/>
                <w:sz w:val="22"/>
              </w:rPr>
            </w:pPr>
            <w:r w:rsidRPr="000F7AD5">
              <w:rPr>
                <w:spacing w:val="-3"/>
                <w:sz w:val="22"/>
              </w:rPr>
              <w:t>Malfunctions.  A record of all malfunctions including, at a minimum: the date and time the malfunction occurred; a description of the malfunction and the corrective action taken; the date and time corrective actions were initiated; and the date and time corrective actions were completed, and the facility returned to compliance.</w:t>
            </w:r>
          </w:p>
          <w:p w:rsidRPr="000F7AD5" w:rsidR="00595B56" w:rsidP="00B145CC" w:rsidRDefault="00A6759B" w14:paraId="2985AEC4" w14:textId="77777777">
            <w:pPr>
              <w:pStyle w:val="ListParagraph"/>
              <w:numPr>
                <w:ilvl w:val="0"/>
                <w:numId w:val="14"/>
              </w:numPr>
              <w:tabs>
                <w:tab w:val="left" w:pos="0"/>
              </w:tabs>
              <w:suppressAutoHyphens/>
              <w:ind w:right="166"/>
              <w:rPr>
                <w:spacing w:val="-3"/>
                <w:sz w:val="22"/>
              </w:rPr>
            </w:pPr>
            <w:r w:rsidRPr="000F7AD5">
              <w:rPr>
                <w:spacing w:val="-3"/>
                <w:sz w:val="22"/>
              </w:rPr>
              <w:t>Records shall be maintained documenting the air contaminant emission analysis supporting the response to BWP AQ 01-B Section-C.</w:t>
            </w:r>
          </w:p>
          <w:p w:rsidRPr="000F7AD5" w:rsidR="00A6759B" w:rsidP="00B145CC" w:rsidRDefault="00A6759B" w14:paraId="64BCE9E5" w14:textId="2E9BC949">
            <w:pPr>
              <w:pStyle w:val="ListParagraph"/>
              <w:numPr>
                <w:ilvl w:val="0"/>
                <w:numId w:val="14"/>
              </w:numPr>
              <w:tabs>
                <w:tab w:val="left" w:pos="0"/>
              </w:tabs>
              <w:suppressAutoHyphens/>
              <w:ind w:right="166"/>
              <w:rPr>
                <w:spacing w:val="-3"/>
                <w:sz w:val="22"/>
              </w:rPr>
            </w:pPr>
            <w:r w:rsidRPr="000F7AD5">
              <w:rPr>
                <w:spacing w:val="-3"/>
                <w:sz w:val="22"/>
              </w:rPr>
              <w:t>All records shall be kept on site for five (5) years from date of record and shall be made available to the MassDEP upon request.</w:t>
            </w:r>
          </w:p>
        </w:tc>
      </w:tr>
      <w:tr w:rsidRPr="000F7AD5" w:rsidR="009205FE" w:rsidTr="00F63E0C" w14:paraId="25BE57A9" w14:textId="77777777">
        <w:trPr>
          <w:cantSplit/>
          <w:trHeight w:val="195"/>
        </w:trPr>
        <w:tc>
          <w:tcPr>
            <w:tcW w:w="1350" w:type="dxa"/>
            <w:vMerge w:val="restart"/>
            <w:shd w:val="clear" w:color="auto" w:fill="auto"/>
            <w:vAlign w:val="center"/>
          </w:tcPr>
          <w:p w:rsidRPr="00F63E0C" w:rsidR="009205FE" w:rsidP="00A6759B" w:rsidRDefault="009205FE" w14:paraId="7540257B" w14:textId="0869E9A6">
            <w:pPr>
              <w:tabs>
                <w:tab w:val="left" w:pos="-720"/>
              </w:tabs>
              <w:suppressAutoHyphens/>
              <w:jc w:val="center"/>
              <w:rPr>
                <w:sz w:val="22"/>
                <w:szCs w:val="22"/>
              </w:rPr>
            </w:pPr>
            <w:r w:rsidRPr="00F63E0C">
              <w:rPr>
                <w:sz w:val="22"/>
                <w:szCs w:val="22"/>
              </w:rPr>
              <w:t>EU25</w:t>
            </w:r>
          </w:p>
        </w:tc>
        <w:tc>
          <w:tcPr>
            <w:tcW w:w="8550" w:type="dxa"/>
            <w:shd w:val="clear" w:color="auto" w:fill="auto"/>
            <w:vAlign w:val="center"/>
          </w:tcPr>
          <w:p w:rsidRPr="00F63E0C" w:rsidR="009205FE" w:rsidP="00B145CC" w:rsidRDefault="009205FE" w14:paraId="38EAE0C9" w14:textId="7FB6C852">
            <w:pPr>
              <w:pStyle w:val="ListParagraph"/>
              <w:numPr>
                <w:ilvl w:val="0"/>
                <w:numId w:val="13"/>
              </w:numPr>
              <w:tabs>
                <w:tab w:val="left" w:pos="0"/>
              </w:tabs>
              <w:suppressAutoHyphens/>
              <w:ind w:left="406"/>
              <w:rPr>
                <w:sz w:val="22"/>
              </w:rPr>
            </w:pPr>
            <w:r w:rsidRPr="00F63E0C">
              <w:rPr>
                <w:spacing w:val="-3"/>
                <w:sz w:val="22"/>
              </w:rPr>
              <w:t>The Permittee shall maintain a record of the dates that the Aerosol Filling Room Leak Detection and Repair Program (AFRLDRP) are conducted to verify that it is being conducted at least semiannually.</w:t>
            </w:r>
          </w:p>
        </w:tc>
      </w:tr>
      <w:tr w:rsidRPr="000F7AD5" w:rsidR="009205FE" w:rsidTr="00F63E0C" w14:paraId="52F99A2C" w14:textId="77777777">
        <w:trPr>
          <w:cantSplit/>
          <w:trHeight w:val="195"/>
        </w:trPr>
        <w:tc>
          <w:tcPr>
            <w:tcW w:w="1350" w:type="dxa"/>
            <w:vMerge/>
            <w:shd w:val="clear" w:color="auto" w:fill="auto"/>
            <w:vAlign w:val="center"/>
          </w:tcPr>
          <w:p w:rsidRPr="00F63E0C" w:rsidR="009205FE" w:rsidP="00A6759B" w:rsidRDefault="009205FE" w14:paraId="20DFD4A8" w14:textId="77777777">
            <w:pPr>
              <w:tabs>
                <w:tab w:val="left" w:pos="-720"/>
              </w:tabs>
              <w:suppressAutoHyphens/>
              <w:jc w:val="center"/>
              <w:rPr>
                <w:sz w:val="22"/>
                <w:szCs w:val="22"/>
              </w:rPr>
            </w:pPr>
          </w:p>
        </w:tc>
        <w:tc>
          <w:tcPr>
            <w:tcW w:w="8550" w:type="dxa"/>
            <w:shd w:val="clear" w:color="auto" w:fill="auto"/>
            <w:vAlign w:val="center"/>
          </w:tcPr>
          <w:p w:rsidRPr="00F63E0C" w:rsidR="009205FE" w:rsidP="00B145CC" w:rsidRDefault="009205FE" w14:paraId="45EDE867" w14:textId="494515F0">
            <w:pPr>
              <w:pStyle w:val="ListParagraph"/>
              <w:numPr>
                <w:ilvl w:val="0"/>
                <w:numId w:val="13"/>
              </w:numPr>
              <w:tabs>
                <w:tab w:val="left" w:pos="0"/>
              </w:tabs>
              <w:suppressAutoHyphens/>
              <w:ind w:left="406"/>
              <w:rPr>
                <w:sz w:val="22"/>
              </w:rPr>
            </w:pPr>
            <w:r w:rsidRPr="00F63E0C">
              <w:rPr>
                <w:sz w:val="22"/>
              </w:rPr>
              <w:t>The Permittee shall maintain a record of attendance lists of the required semi-annual Gas Room Operator (GRO) Training (formerly known as Hydrocarbon Safety Training).</w:t>
            </w:r>
          </w:p>
        </w:tc>
      </w:tr>
      <w:tr w:rsidRPr="000F7AD5" w:rsidR="009205FE" w:rsidTr="00F63E0C" w14:paraId="4867EA05" w14:textId="77777777">
        <w:trPr>
          <w:cantSplit/>
          <w:trHeight w:val="195"/>
        </w:trPr>
        <w:tc>
          <w:tcPr>
            <w:tcW w:w="1350" w:type="dxa"/>
            <w:vMerge/>
            <w:shd w:val="clear" w:color="auto" w:fill="auto"/>
            <w:vAlign w:val="center"/>
          </w:tcPr>
          <w:p w:rsidRPr="00F63E0C" w:rsidR="009205FE" w:rsidP="00A6759B" w:rsidRDefault="009205FE" w14:paraId="4C9C7342" w14:textId="77777777">
            <w:pPr>
              <w:tabs>
                <w:tab w:val="left" w:pos="-720"/>
              </w:tabs>
              <w:suppressAutoHyphens/>
              <w:jc w:val="center"/>
              <w:rPr>
                <w:sz w:val="22"/>
                <w:szCs w:val="22"/>
              </w:rPr>
            </w:pPr>
          </w:p>
        </w:tc>
        <w:tc>
          <w:tcPr>
            <w:tcW w:w="8550" w:type="dxa"/>
            <w:shd w:val="clear" w:color="auto" w:fill="auto"/>
            <w:vAlign w:val="center"/>
          </w:tcPr>
          <w:p w:rsidRPr="00F63E0C" w:rsidR="009205FE" w:rsidP="00B145CC" w:rsidRDefault="009205FE" w14:paraId="28FE8CAF" w14:textId="53D1423A">
            <w:pPr>
              <w:pStyle w:val="ListParagraph"/>
              <w:numPr>
                <w:ilvl w:val="0"/>
                <w:numId w:val="13"/>
              </w:numPr>
              <w:tabs>
                <w:tab w:val="left" w:pos="0"/>
              </w:tabs>
              <w:suppressAutoHyphens/>
              <w:ind w:left="406"/>
              <w:rPr>
                <w:sz w:val="22"/>
              </w:rPr>
            </w:pPr>
            <w:r w:rsidRPr="00F63E0C">
              <w:rPr>
                <w:sz w:val="22"/>
              </w:rPr>
              <w:t>The Permittee shall maintain a record of gas room safety venting.  Specifically, the gas room operator's initials, date, time, reason, location, and approximate amount of VOC that is vented must be documented. Actively used records must be kept by each filling room, and accumulated records must be stored in the RACT Compliance Files for at least five (5) years and made available for DEP and USEPA review.</w:t>
            </w:r>
          </w:p>
        </w:tc>
      </w:tr>
      <w:tr w:rsidRPr="000F7AD5" w:rsidR="00A6759B" w:rsidTr="0024134A" w14:paraId="71C96B63" w14:textId="77777777">
        <w:trPr>
          <w:cantSplit/>
        </w:trPr>
        <w:tc>
          <w:tcPr>
            <w:tcW w:w="1350" w:type="dxa"/>
            <w:vAlign w:val="center"/>
          </w:tcPr>
          <w:p w:rsidRPr="000F7AD5" w:rsidR="00A6759B" w:rsidP="00A6759B" w:rsidRDefault="00A6759B" w14:paraId="64AB0067" w14:textId="77777777">
            <w:pPr>
              <w:tabs>
                <w:tab w:val="left" w:pos="-720"/>
              </w:tabs>
              <w:suppressAutoHyphens/>
              <w:jc w:val="center"/>
              <w:rPr>
                <w:sz w:val="22"/>
                <w:szCs w:val="22"/>
              </w:rPr>
            </w:pPr>
            <w:r w:rsidRPr="000F7AD5">
              <w:rPr>
                <w:sz w:val="22"/>
                <w:szCs w:val="22"/>
              </w:rPr>
              <w:t>EU26</w:t>
            </w:r>
          </w:p>
        </w:tc>
        <w:tc>
          <w:tcPr>
            <w:tcW w:w="8550" w:type="dxa"/>
            <w:vAlign w:val="center"/>
          </w:tcPr>
          <w:p w:rsidRPr="000F7AD5" w:rsidR="00A6759B" w:rsidP="00B145CC" w:rsidRDefault="009A7F67" w14:paraId="0F3B521A" w14:textId="2749D1BB">
            <w:pPr>
              <w:pStyle w:val="ListParagraph"/>
              <w:numPr>
                <w:ilvl w:val="0"/>
                <w:numId w:val="13"/>
              </w:numPr>
              <w:tabs>
                <w:tab w:val="left" w:pos="-720"/>
              </w:tabs>
              <w:suppressAutoHyphens/>
              <w:ind w:left="406"/>
              <w:rPr>
                <w:sz w:val="22"/>
              </w:rPr>
            </w:pPr>
            <w:r w:rsidRPr="000F7AD5">
              <w:rPr>
                <w:sz w:val="22"/>
              </w:rPr>
              <w:t>The Permittee shall m</w:t>
            </w:r>
            <w:r w:rsidRPr="000F7AD5" w:rsidR="00A6759B">
              <w:rPr>
                <w:sz w:val="22"/>
              </w:rPr>
              <w:t>aintain a record of the amount of</w:t>
            </w:r>
            <w:r w:rsidR="004B54E9">
              <w:rPr>
                <w:sz w:val="22"/>
              </w:rPr>
              <w:t xml:space="preserve"> alcoho</w:t>
            </w:r>
            <w:r w:rsidR="00D13A48">
              <w:rPr>
                <w:sz w:val="22"/>
              </w:rPr>
              <w:t>l</w:t>
            </w:r>
            <w:r w:rsidRPr="000F7AD5" w:rsidR="00A6759B">
              <w:rPr>
                <w:sz w:val="22"/>
              </w:rPr>
              <w:t xml:space="preserve"> used</w:t>
            </w:r>
            <w:r w:rsidR="00D13A48">
              <w:t xml:space="preserve"> </w:t>
            </w:r>
            <w:r w:rsidRPr="00D13A48" w:rsidR="00D13A48">
              <w:rPr>
                <w:sz w:val="22"/>
              </w:rPr>
              <w:t>and the resultant VOC</w:t>
            </w:r>
            <w:r w:rsidR="00D13A48">
              <w:rPr>
                <w:sz w:val="22"/>
              </w:rPr>
              <w:t xml:space="preserve"> emissions</w:t>
            </w:r>
            <w:r w:rsidRPr="000F7AD5" w:rsidR="00A6759B">
              <w:rPr>
                <w:sz w:val="22"/>
              </w:rPr>
              <w:t>, in any</w:t>
            </w:r>
            <w:r w:rsidR="005C35A9">
              <w:rPr>
                <w:sz w:val="22"/>
              </w:rPr>
              <w:t xml:space="preserve"> </w:t>
            </w:r>
            <w:r w:rsidRPr="000F7AD5" w:rsidR="00A6759B">
              <w:rPr>
                <w:sz w:val="22"/>
              </w:rPr>
              <w:t xml:space="preserve">twelve-month </w:t>
            </w:r>
            <w:r w:rsidR="00590B36">
              <w:rPr>
                <w:sz w:val="22"/>
              </w:rPr>
              <w:t>rolling</w:t>
            </w:r>
            <w:r w:rsidR="00C00BC8">
              <w:rPr>
                <w:sz w:val="22"/>
              </w:rPr>
              <w:t xml:space="preserve"> </w:t>
            </w:r>
            <w:r w:rsidRPr="000F7AD5" w:rsidR="00A6759B">
              <w:rPr>
                <w:sz w:val="22"/>
              </w:rPr>
              <w:t>period</w:t>
            </w:r>
            <w:r w:rsidR="00C47BC4">
              <w:rPr>
                <w:sz w:val="22"/>
              </w:rPr>
              <w:t>,</w:t>
            </w:r>
            <w:r w:rsidRPr="000F7AD5" w:rsidR="00A5022C">
              <w:rPr>
                <w:sz w:val="22"/>
              </w:rPr>
              <w:t xml:space="preserve"> </w:t>
            </w:r>
            <w:r w:rsidRPr="000F7AD5" w:rsidR="00A6759B">
              <w:rPr>
                <w:sz w:val="22"/>
              </w:rPr>
              <w:t>to demonstrate</w:t>
            </w:r>
            <w:r w:rsidRPr="000F7AD5" w:rsidR="001D7042">
              <w:rPr>
                <w:sz w:val="22"/>
              </w:rPr>
              <w:t xml:space="preserve"> compliance </w:t>
            </w:r>
            <w:r w:rsidR="00E74AF1">
              <w:rPr>
                <w:sz w:val="22"/>
              </w:rPr>
              <w:t>with</w:t>
            </w:r>
            <w:r w:rsidR="00E74AF1">
              <w:t xml:space="preserve"> </w:t>
            </w:r>
            <w:r w:rsidRPr="00E74AF1" w:rsidR="00E74AF1">
              <w:rPr>
                <w:sz w:val="22"/>
              </w:rPr>
              <w:t>the emission</w:t>
            </w:r>
            <w:r w:rsidRPr="000F7AD5" w:rsidR="00A6759B">
              <w:rPr>
                <w:sz w:val="22"/>
              </w:rPr>
              <w:t xml:space="preserve"> limit</w:t>
            </w:r>
            <w:r w:rsidRPr="000F7AD5" w:rsidR="00D00E8D">
              <w:rPr>
                <w:sz w:val="22"/>
              </w:rPr>
              <w:t>s i</w:t>
            </w:r>
            <w:r w:rsidRPr="000F7AD5" w:rsidR="000530E8">
              <w:rPr>
                <w:sz w:val="22"/>
              </w:rPr>
              <w:t>n Table 2.</w:t>
            </w:r>
            <w:r w:rsidRPr="000F7AD5" w:rsidR="00A6759B">
              <w:rPr>
                <w:sz w:val="22"/>
              </w:rPr>
              <w:t xml:space="preserve"> </w:t>
            </w:r>
          </w:p>
        </w:tc>
      </w:tr>
      <w:tr w:rsidRPr="000F7AD5" w:rsidR="00BC77E3" w:rsidTr="0024134A" w14:paraId="50015DC6" w14:textId="77777777">
        <w:trPr>
          <w:cantSplit/>
        </w:trPr>
        <w:tc>
          <w:tcPr>
            <w:tcW w:w="1350" w:type="dxa"/>
            <w:vAlign w:val="center"/>
          </w:tcPr>
          <w:p w:rsidRPr="000F7AD5" w:rsidR="00BC77E3" w:rsidP="00A6759B" w:rsidRDefault="00BC77E3" w14:paraId="77D6F68B" w14:textId="34CB4DE4">
            <w:pPr>
              <w:tabs>
                <w:tab w:val="left" w:pos="-720"/>
              </w:tabs>
              <w:suppressAutoHyphens/>
              <w:jc w:val="center"/>
              <w:rPr>
                <w:sz w:val="22"/>
                <w:szCs w:val="22"/>
              </w:rPr>
            </w:pPr>
            <w:r w:rsidRPr="000F7AD5">
              <w:rPr>
                <w:sz w:val="22"/>
                <w:szCs w:val="22"/>
              </w:rPr>
              <w:t>EU27</w:t>
            </w:r>
          </w:p>
        </w:tc>
        <w:tc>
          <w:tcPr>
            <w:tcW w:w="8550" w:type="dxa"/>
            <w:vAlign w:val="center"/>
          </w:tcPr>
          <w:p w:rsidRPr="000F7AD5" w:rsidR="00BC77E3" w:rsidP="00B145CC" w:rsidRDefault="00BC77E3" w14:paraId="0CBD2A03" w14:textId="349EDC71">
            <w:pPr>
              <w:pStyle w:val="ListParagraph"/>
              <w:numPr>
                <w:ilvl w:val="0"/>
                <w:numId w:val="13"/>
              </w:numPr>
              <w:tabs>
                <w:tab w:val="left" w:pos="-720"/>
              </w:tabs>
              <w:suppressAutoHyphens/>
              <w:ind w:left="406"/>
              <w:rPr>
                <w:sz w:val="22"/>
              </w:rPr>
            </w:pPr>
            <w:r w:rsidRPr="000F7AD5">
              <w:rPr>
                <w:sz w:val="22"/>
              </w:rPr>
              <w:t xml:space="preserve"> </w:t>
            </w:r>
            <w:r w:rsidRPr="000F7AD5" w:rsidR="00C839BD">
              <w:rPr>
                <w:sz w:val="22"/>
              </w:rPr>
              <w:t xml:space="preserve">The Permittee shall maintain a record of the amount of perforation press lubricating oil </w:t>
            </w:r>
            <w:r w:rsidR="009865B8">
              <w:rPr>
                <w:sz w:val="22"/>
              </w:rPr>
              <w:t>used and the resultant VOC and PM</w:t>
            </w:r>
            <w:r w:rsidRPr="003E44CD" w:rsidR="003E44CD">
              <w:rPr>
                <w:sz w:val="22"/>
                <w:vertAlign w:val="subscript"/>
              </w:rPr>
              <w:t>2.5</w:t>
            </w:r>
            <w:r w:rsidRPr="003E44CD" w:rsidR="009865B8">
              <w:rPr>
                <w:sz w:val="22"/>
                <w:vertAlign w:val="subscript"/>
              </w:rPr>
              <w:t xml:space="preserve"> </w:t>
            </w:r>
            <w:r w:rsidR="009865B8">
              <w:rPr>
                <w:sz w:val="22"/>
              </w:rPr>
              <w:t xml:space="preserve">emissions </w:t>
            </w:r>
            <w:r w:rsidRPr="000F7AD5" w:rsidR="00C839BD">
              <w:rPr>
                <w:sz w:val="22"/>
              </w:rPr>
              <w:t>to</w:t>
            </w:r>
            <w:r w:rsidRPr="000F7AD5" w:rsidR="0042399B">
              <w:rPr>
                <w:sz w:val="22"/>
              </w:rPr>
              <w:t xml:space="preserve"> demonstrate</w:t>
            </w:r>
            <w:r w:rsidRPr="000F7AD5" w:rsidR="00C839BD">
              <w:rPr>
                <w:sz w:val="22"/>
              </w:rPr>
              <w:t xml:space="preserve"> compl</w:t>
            </w:r>
            <w:r w:rsidRPr="000F7AD5" w:rsidR="0042399B">
              <w:rPr>
                <w:sz w:val="22"/>
              </w:rPr>
              <w:t>iance</w:t>
            </w:r>
            <w:r w:rsidRPr="000F7AD5" w:rsidR="00C839BD">
              <w:rPr>
                <w:sz w:val="22"/>
              </w:rPr>
              <w:t xml:space="preserve"> with the</w:t>
            </w:r>
            <w:r w:rsidR="00EB24A3">
              <w:rPr>
                <w:sz w:val="22"/>
              </w:rPr>
              <w:t xml:space="preserve"> operational and</w:t>
            </w:r>
            <w:r w:rsidRPr="000F7AD5" w:rsidR="00C839BD">
              <w:rPr>
                <w:sz w:val="22"/>
              </w:rPr>
              <w:t xml:space="preserve"> emission limits in Table 2.</w:t>
            </w:r>
          </w:p>
        </w:tc>
      </w:tr>
      <w:tr w:rsidRPr="000F7AD5" w:rsidR="00BC77E3" w:rsidTr="0024134A" w14:paraId="457DE727" w14:textId="77777777">
        <w:trPr>
          <w:cantSplit/>
        </w:trPr>
        <w:tc>
          <w:tcPr>
            <w:tcW w:w="1350" w:type="dxa"/>
            <w:vAlign w:val="center"/>
          </w:tcPr>
          <w:p w:rsidRPr="000F7AD5" w:rsidR="00BC77E3" w:rsidP="00A6759B" w:rsidRDefault="00BC77E3" w14:paraId="37DE1678" w14:textId="06D929A2">
            <w:pPr>
              <w:tabs>
                <w:tab w:val="left" w:pos="-720"/>
              </w:tabs>
              <w:suppressAutoHyphens/>
              <w:jc w:val="center"/>
              <w:rPr>
                <w:sz w:val="22"/>
                <w:szCs w:val="22"/>
              </w:rPr>
            </w:pPr>
            <w:r w:rsidRPr="000F7AD5">
              <w:rPr>
                <w:sz w:val="22"/>
                <w:szCs w:val="22"/>
              </w:rPr>
              <w:t>EU28</w:t>
            </w:r>
          </w:p>
        </w:tc>
        <w:tc>
          <w:tcPr>
            <w:tcW w:w="8550" w:type="dxa"/>
            <w:vAlign w:val="center"/>
          </w:tcPr>
          <w:p w:rsidRPr="000F7AD5" w:rsidR="00BC77E3" w:rsidP="00B145CC" w:rsidRDefault="002F3494" w14:paraId="5E10CC63" w14:textId="1B41C1C2">
            <w:pPr>
              <w:pStyle w:val="ListParagraph"/>
              <w:numPr>
                <w:ilvl w:val="0"/>
                <w:numId w:val="13"/>
              </w:numPr>
              <w:tabs>
                <w:tab w:val="left" w:pos="-720"/>
              </w:tabs>
              <w:suppressAutoHyphens/>
              <w:ind w:left="406"/>
              <w:rPr>
                <w:sz w:val="22"/>
              </w:rPr>
            </w:pPr>
            <w:r w:rsidRPr="000F7AD5">
              <w:rPr>
                <w:sz w:val="22"/>
              </w:rPr>
              <w:t>The Permittee shall maintain a record of the amount of</w:t>
            </w:r>
            <w:r w:rsidR="001014E2">
              <w:rPr>
                <w:sz w:val="22"/>
              </w:rPr>
              <w:t xml:space="preserve"> QA / QC</w:t>
            </w:r>
            <w:r w:rsidRPr="000F7AD5">
              <w:rPr>
                <w:sz w:val="22"/>
              </w:rPr>
              <w:t xml:space="preserve"> isopropanol being used in mold cleaning operations</w:t>
            </w:r>
            <w:r w:rsidR="00755C34">
              <w:t xml:space="preserve"> </w:t>
            </w:r>
            <w:r w:rsidRPr="00755C34" w:rsidR="00755C34">
              <w:rPr>
                <w:sz w:val="22"/>
              </w:rPr>
              <w:t>and the resultant VOC</w:t>
            </w:r>
            <w:r w:rsidR="00755C34">
              <w:rPr>
                <w:sz w:val="22"/>
              </w:rPr>
              <w:t xml:space="preserve"> emissions</w:t>
            </w:r>
            <w:r w:rsidRPr="000F7AD5">
              <w:rPr>
                <w:sz w:val="22"/>
              </w:rPr>
              <w:t xml:space="preserve"> </w:t>
            </w:r>
            <w:r w:rsidRPr="000F7AD5" w:rsidR="0042399B">
              <w:rPr>
                <w:sz w:val="22"/>
              </w:rPr>
              <w:t>to demonstrate compliance</w:t>
            </w:r>
            <w:r w:rsidRPr="000F7AD5">
              <w:rPr>
                <w:sz w:val="22"/>
              </w:rPr>
              <w:t xml:space="preserve"> with </w:t>
            </w:r>
            <w:r w:rsidRPr="000F7AD5" w:rsidR="00853B28">
              <w:rPr>
                <w:sz w:val="22"/>
              </w:rPr>
              <w:t>the</w:t>
            </w:r>
            <w:r w:rsidR="00D74B8F">
              <w:rPr>
                <w:sz w:val="22"/>
              </w:rPr>
              <w:t xml:space="preserve"> operational and</w:t>
            </w:r>
            <w:r w:rsidRPr="000F7AD5" w:rsidR="00853B28">
              <w:rPr>
                <w:sz w:val="22"/>
              </w:rPr>
              <w:t xml:space="preserve"> emission limits in Table 2.</w:t>
            </w:r>
          </w:p>
        </w:tc>
      </w:tr>
      <w:tr w:rsidRPr="000F7AD5" w:rsidR="00BC77E3" w:rsidTr="0024134A" w14:paraId="3B79E78C" w14:textId="77777777">
        <w:trPr>
          <w:cantSplit/>
        </w:trPr>
        <w:tc>
          <w:tcPr>
            <w:tcW w:w="1350" w:type="dxa"/>
            <w:vAlign w:val="center"/>
          </w:tcPr>
          <w:p w:rsidRPr="000F7AD5" w:rsidR="00BC77E3" w:rsidP="00A6759B" w:rsidRDefault="00BC77E3" w14:paraId="54602B03" w14:textId="518551F1">
            <w:pPr>
              <w:tabs>
                <w:tab w:val="left" w:pos="-720"/>
              </w:tabs>
              <w:suppressAutoHyphens/>
              <w:jc w:val="center"/>
              <w:rPr>
                <w:sz w:val="22"/>
                <w:szCs w:val="22"/>
              </w:rPr>
            </w:pPr>
            <w:r w:rsidRPr="000F7AD5">
              <w:rPr>
                <w:sz w:val="22"/>
                <w:szCs w:val="22"/>
              </w:rPr>
              <w:t>EU29</w:t>
            </w:r>
          </w:p>
        </w:tc>
        <w:tc>
          <w:tcPr>
            <w:tcW w:w="8550" w:type="dxa"/>
            <w:vAlign w:val="center"/>
          </w:tcPr>
          <w:p w:rsidRPr="000F7AD5" w:rsidR="00BC77E3" w:rsidP="00B145CC" w:rsidRDefault="009963CA" w14:paraId="085EE4BD" w14:textId="5BECF1FF">
            <w:pPr>
              <w:pStyle w:val="ListParagraph"/>
              <w:numPr>
                <w:ilvl w:val="0"/>
                <w:numId w:val="13"/>
              </w:numPr>
              <w:tabs>
                <w:tab w:val="left" w:pos="-720"/>
              </w:tabs>
              <w:suppressAutoHyphens/>
              <w:ind w:left="406"/>
              <w:rPr>
                <w:sz w:val="22"/>
              </w:rPr>
            </w:pPr>
            <w:r w:rsidRPr="000F7AD5">
              <w:rPr>
                <w:sz w:val="22"/>
              </w:rPr>
              <w:t>The Permittee shall maintain records of various lubricants and coatings used</w:t>
            </w:r>
            <w:r w:rsidR="005B33A4">
              <w:t xml:space="preserve"> </w:t>
            </w:r>
            <w:r w:rsidRPr="005B33A4" w:rsidR="005B33A4">
              <w:rPr>
                <w:sz w:val="22"/>
              </w:rPr>
              <w:t>and the resultant</w:t>
            </w:r>
            <w:r w:rsidRPr="000F7AD5">
              <w:rPr>
                <w:sz w:val="22"/>
              </w:rPr>
              <w:t xml:space="preserve"> </w:t>
            </w:r>
            <w:r w:rsidRPr="000F7AD5" w:rsidR="005B33A4">
              <w:rPr>
                <w:sz w:val="22"/>
              </w:rPr>
              <w:t>VOC and PM</w:t>
            </w:r>
            <w:r w:rsidRPr="003E44CD" w:rsidR="005B33A4">
              <w:rPr>
                <w:sz w:val="22"/>
                <w:vertAlign w:val="subscript"/>
              </w:rPr>
              <w:t xml:space="preserve">2.5 </w:t>
            </w:r>
            <w:r w:rsidRPr="000F7AD5" w:rsidR="005B33A4">
              <w:rPr>
                <w:sz w:val="22"/>
              </w:rPr>
              <w:t xml:space="preserve">emission </w:t>
            </w:r>
            <w:r w:rsidRPr="000F7AD5">
              <w:rPr>
                <w:sz w:val="22"/>
              </w:rPr>
              <w:t>to demonstrate compliance with</w:t>
            </w:r>
            <w:r w:rsidR="000673AF">
              <w:rPr>
                <w:sz w:val="22"/>
              </w:rPr>
              <w:t xml:space="preserve"> the emission</w:t>
            </w:r>
            <w:r w:rsidRPr="000F7AD5">
              <w:rPr>
                <w:sz w:val="22"/>
              </w:rPr>
              <w:t xml:space="preserve"> limits on Table 2.</w:t>
            </w:r>
          </w:p>
        </w:tc>
      </w:tr>
      <w:tr w:rsidRPr="000F7AD5" w:rsidR="009205FE" w:rsidTr="0024134A" w14:paraId="719AD0FD" w14:textId="77777777">
        <w:trPr>
          <w:cantSplit/>
        </w:trPr>
        <w:tc>
          <w:tcPr>
            <w:tcW w:w="1350" w:type="dxa"/>
            <w:vMerge w:val="restart"/>
            <w:vAlign w:val="center"/>
          </w:tcPr>
          <w:p w:rsidRPr="000F7AD5" w:rsidR="009205FE" w:rsidP="00A6759B" w:rsidRDefault="009205FE" w14:paraId="57299ACB" w14:textId="77777777">
            <w:pPr>
              <w:jc w:val="center"/>
              <w:rPr>
                <w:sz w:val="22"/>
                <w:szCs w:val="22"/>
              </w:rPr>
            </w:pPr>
            <w:r w:rsidRPr="000F7AD5">
              <w:rPr>
                <w:sz w:val="22"/>
                <w:szCs w:val="22"/>
              </w:rPr>
              <w:t>Facility-Wide</w:t>
            </w:r>
          </w:p>
        </w:tc>
        <w:tc>
          <w:tcPr>
            <w:tcW w:w="8550" w:type="dxa"/>
            <w:vAlign w:val="center"/>
          </w:tcPr>
          <w:p w:rsidRPr="000F7AD5" w:rsidR="009205FE" w:rsidP="00B145CC" w:rsidRDefault="009205FE" w14:paraId="722431E3" w14:textId="7C571BF5">
            <w:pPr>
              <w:pStyle w:val="ListParagraph"/>
              <w:numPr>
                <w:ilvl w:val="0"/>
                <w:numId w:val="13"/>
              </w:numPr>
              <w:tabs>
                <w:tab w:val="left" w:pos="-720"/>
              </w:tabs>
              <w:suppressAutoHyphens/>
              <w:ind w:left="406"/>
              <w:rPr>
                <w:sz w:val="22"/>
              </w:rPr>
            </w:pPr>
            <w:r w:rsidRPr="000F7AD5">
              <w:rPr>
                <w:sz w:val="22"/>
              </w:rPr>
              <w:t>The Permittee shall maintain adequate records on-site to demonstrate compliance status with all operational, production, and emission limits contained in Table 2 above. Records shall also include the actual emissions of air contaminant(s) emitted for each calendar month and for each consecutive twelve-month period (current month plus prior eleven months).  These records shall be compiled no later than the 15</w:t>
            </w:r>
            <w:r w:rsidRPr="000F7AD5">
              <w:rPr>
                <w:sz w:val="22"/>
                <w:vertAlign w:val="superscript"/>
              </w:rPr>
              <w:t>th</w:t>
            </w:r>
            <w:r w:rsidRPr="000F7AD5">
              <w:rPr>
                <w:sz w:val="22"/>
              </w:rPr>
              <w:t xml:space="preserve"> day following each month.  An electronic version of a MassDEP approved record keeping form, in Microsoft Excel format, may be downloaded at </w:t>
            </w:r>
            <w:hyperlink w:history="1" w:anchor="WorkbookforReportingOn-SiteRecordKeeping" r:id="rId15">
              <w:r w:rsidRPr="000F7AD5">
                <w:rPr>
                  <w:rStyle w:val="Hyperlink"/>
                  <w:sz w:val="22"/>
                </w:rPr>
                <w:t>https://www.mass.gov/guides/massdep-facility-wide-emission-restrictions-caps-reporting#WorkbookforReportingOn-SiteRecordKeeping</w:t>
              </w:r>
            </w:hyperlink>
            <w:r w:rsidRPr="000F7AD5">
              <w:rPr>
                <w:sz w:val="22"/>
              </w:rPr>
              <w:t>.</w:t>
            </w:r>
          </w:p>
        </w:tc>
      </w:tr>
      <w:tr w:rsidRPr="000F7AD5" w:rsidR="009205FE" w:rsidTr="0024134A" w14:paraId="1AEA0E3F" w14:textId="77777777">
        <w:trPr>
          <w:cantSplit/>
        </w:trPr>
        <w:tc>
          <w:tcPr>
            <w:tcW w:w="1350" w:type="dxa"/>
            <w:vMerge/>
            <w:vAlign w:val="center"/>
          </w:tcPr>
          <w:p w:rsidRPr="000F7AD5" w:rsidR="009205FE" w:rsidP="00A6759B" w:rsidRDefault="009205FE" w14:paraId="511442C4" w14:textId="77777777">
            <w:pPr>
              <w:jc w:val="center"/>
              <w:rPr>
                <w:sz w:val="22"/>
                <w:szCs w:val="22"/>
              </w:rPr>
            </w:pPr>
          </w:p>
        </w:tc>
        <w:tc>
          <w:tcPr>
            <w:tcW w:w="8550" w:type="dxa"/>
            <w:vAlign w:val="center"/>
          </w:tcPr>
          <w:p w:rsidRPr="000F7AD5" w:rsidR="009205FE" w:rsidP="00B145CC" w:rsidRDefault="009205FE" w14:paraId="11523C90" w14:textId="50943605">
            <w:pPr>
              <w:pStyle w:val="ListParagraph"/>
              <w:numPr>
                <w:ilvl w:val="0"/>
                <w:numId w:val="13"/>
              </w:numPr>
              <w:tabs>
                <w:tab w:val="left" w:pos="-720"/>
              </w:tabs>
              <w:suppressAutoHyphens/>
              <w:ind w:left="406"/>
              <w:rPr>
                <w:sz w:val="22"/>
              </w:rPr>
            </w:pPr>
            <w:r w:rsidRPr="00F664FB">
              <w:rPr>
                <w:sz w:val="22"/>
              </w:rPr>
              <w:t xml:space="preserve">The Permittee shall comply with the recordkeeping requirements contained in 310 CMR </w:t>
            </w:r>
            <w:r w:rsidRPr="00733779">
              <w:rPr>
                <w:sz w:val="22"/>
              </w:rPr>
              <w:t>7.26(42)(f)</w:t>
            </w:r>
            <w:r>
              <w:rPr>
                <w:sz w:val="22"/>
              </w:rPr>
              <w:t xml:space="preserve"> </w:t>
            </w:r>
            <w:r w:rsidRPr="00F664FB">
              <w:rPr>
                <w:sz w:val="22"/>
              </w:rPr>
              <w:t>to demonstrate compliance</w:t>
            </w:r>
          </w:p>
        </w:tc>
      </w:tr>
      <w:tr w:rsidRPr="000F7AD5" w:rsidR="009205FE" w:rsidTr="0024134A" w14:paraId="14D2CDC5" w14:textId="77777777">
        <w:trPr>
          <w:cantSplit/>
        </w:trPr>
        <w:tc>
          <w:tcPr>
            <w:tcW w:w="1350" w:type="dxa"/>
            <w:vMerge/>
            <w:vAlign w:val="center"/>
          </w:tcPr>
          <w:p w:rsidRPr="000F7AD5" w:rsidR="009205FE" w:rsidP="00A6759B" w:rsidRDefault="009205FE" w14:paraId="5B50801B" w14:textId="77777777">
            <w:pPr>
              <w:jc w:val="center"/>
              <w:rPr>
                <w:sz w:val="22"/>
                <w:szCs w:val="22"/>
              </w:rPr>
            </w:pPr>
          </w:p>
        </w:tc>
        <w:tc>
          <w:tcPr>
            <w:tcW w:w="8550" w:type="dxa"/>
            <w:vAlign w:val="center"/>
          </w:tcPr>
          <w:p w:rsidRPr="000F7AD5" w:rsidR="009205FE" w:rsidP="00B145CC" w:rsidRDefault="009205FE" w14:paraId="3A4F71F0" w14:textId="76BD9403">
            <w:pPr>
              <w:pStyle w:val="ListParagraph"/>
              <w:numPr>
                <w:ilvl w:val="0"/>
                <w:numId w:val="13"/>
              </w:numPr>
              <w:tabs>
                <w:tab w:val="left" w:pos="-720"/>
              </w:tabs>
              <w:suppressAutoHyphens/>
              <w:ind w:left="406"/>
              <w:rPr>
                <w:sz w:val="22"/>
              </w:rPr>
            </w:pPr>
            <w:r w:rsidRPr="000F7AD5">
              <w:rPr>
                <w:sz w:val="22"/>
              </w:rPr>
              <w:t>The Permittee shall maintain a record of any exceedance of any limitation/restriction established in Table 2 of this Plan Approval.</w:t>
            </w:r>
          </w:p>
        </w:tc>
      </w:tr>
      <w:tr w:rsidRPr="000F7AD5" w:rsidR="009205FE" w:rsidTr="0024134A" w14:paraId="45D9D457" w14:textId="77777777">
        <w:trPr>
          <w:cantSplit/>
        </w:trPr>
        <w:tc>
          <w:tcPr>
            <w:tcW w:w="1350" w:type="dxa"/>
            <w:vMerge/>
            <w:vAlign w:val="center"/>
          </w:tcPr>
          <w:p w:rsidRPr="000F7AD5" w:rsidR="009205FE" w:rsidP="00A6759B" w:rsidRDefault="009205FE" w14:paraId="762CC047" w14:textId="77777777">
            <w:pPr>
              <w:jc w:val="center"/>
              <w:rPr>
                <w:sz w:val="22"/>
                <w:szCs w:val="22"/>
              </w:rPr>
            </w:pPr>
          </w:p>
        </w:tc>
        <w:tc>
          <w:tcPr>
            <w:tcW w:w="8550" w:type="dxa"/>
            <w:vAlign w:val="center"/>
          </w:tcPr>
          <w:p w:rsidRPr="000F7AD5" w:rsidR="009205FE" w:rsidP="00B145CC" w:rsidRDefault="009205FE" w14:paraId="03D60DBE" w14:textId="4FF4C5BE">
            <w:pPr>
              <w:pStyle w:val="ListParagraph"/>
              <w:numPr>
                <w:ilvl w:val="0"/>
                <w:numId w:val="13"/>
              </w:numPr>
              <w:tabs>
                <w:tab w:val="left" w:pos="-720"/>
              </w:tabs>
              <w:suppressAutoHyphens/>
              <w:spacing w:before="18" w:after="126"/>
              <w:ind w:left="406"/>
              <w:rPr>
                <w:spacing w:val="-2"/>
                <w:sz w:val="22"/>
              </w:rPr>
            </w:pPr>
            <w:r w:rsidRPr="000F7AD5">
              <w:rPr>
                <w:sz w:val="22"/>
              </w:rPr>
              <w:t xml:space="preserve">The Permittee shall maintain dedicated RACT Compliance Files, in order to determine compliance.  All files must display the date of initial filing.  All files shall be maintained for a period of at least five (5) years after the initial date of filing.  The files shall be made available to MassDEP and USEPA personnel for inspection. The Permittee may modify and/or improve the current record keeping forms without notification, provided that all of the information in the current record keeping forms necessary to determine compliance is still available. </w:t>
            </w:r>
          </w:p>
        </w:tc>
      </w:tr>
      <w:tr w:rsidRPr="000F7AD5" w:rsidR="009205FE" w:rsidTr="0024134A" w14:paraId="23F6F8AB" w14:textId="77777777">
        <w:trPr>
          <w:cantSplit/>
        </w:trPr>
        <w:tc>
          <w:tcPr>
            <w:tcW w:w="1350" w:type="dxa"/>
            <w:vMerge/>
            <w:vAlign w:val="center"/>
          </w:tcPr>
          <w:p w:rsidRPr="000F7AD5" w:rsidR="009205FE" w:rsidP="00A6759B" w:rsidRDefault="009205FE" w14:paraId="50B3EEC9" w14:textId="3C9141BA">
            <w:pPr>
              <w:tabs>
                <w:tab w:val="left" w:pos="-720"/>
              </w:tabs>
              <w:suppressAutoHyphens/>
              <w:jc w:val="center"/>
              <w:rPr>
                <w:sz w:val="22"/>
                <w:szCs w:val="22"/>
              </w:rPr>
            </w:pPr>
          </w:p>
        </w:tc>
        <w:tc>
          <w:tcPr>
            <w:tcW w:w="8550" w:type="dxa"/>
            <w:vAlign w:val="center"/>
          </w:tcPr>
          <w:p w:rsidRPr="000F7AD5" w:rsidR="009205FE" w:rsidP="00B145CC" w:rsidRDefault="009205FE" w14:paraId="21DC856A" w14:textId="4A2B17A4">
            <w:pPr>
              <w:pStyle w:val="ListParagraph"/>
              <w:numPr>
                <w:ilvl w:val="0"/>
                <w:numId w:val="13"/>
              </w:numPr>
              <w:tabs>
                <w:tab w:val="left" w:pos="-720"/>
              </w:tabs>
              <w:suppressAutoHyphens/>
              <w:spacing w:before="18" w:after="126"/>
              <w:ind w:left="406"/>
              <w:rPr>
                <w:spacing w:val="-2"/>
                <w:sz w:val="22"/>
              </w:rPr>
            </w:pPr>
            <w:r w:rsidRPr="000F7AD5">
              <w:rPr>
                <w:sz w:val="22"/>
              </w:rPr>
              <w:t xml:space="preserve">The Permittee shall maintain copies of any TTV </w:t>
            </w:r>
            <w:r w:rsidRPr="000F7AD5">
              <w:rPr>
                <w:spacing w:val="-3"/>
                <w:sz w:val="22"/>
              </w:rPr>
              <w:t xml:space="preserve">(through the valve) </w:t>
            </w:r>
            <w:r w:rsidRPr="000F7AD5">
              <w:rPr>
                <w:sz w:val="22"/>
              </w:rPr>
              <w:t xml:space="preserve">technical feasibility evaluation results for new aerosol packaged product s in the RACT Compliance Files for at least five (5) years and shall be made available for MassDEP and USEPA review. </w:t>
            </w:r>
          </w:p>
        </w:tc>
      </w:tr>
      <w:tr w:rsidRPr="000F7AD5" w:rsidR="009205FE" w:rsidTr="0024134A" w14:paraId="2A828E60" w14:textId="77777777">
        <w:trPr>
          <w:cantSplit/>
          <w:trHeight w:val="1110"/>
        </w:trPr>
        <w:tc>
          <w:tcPr>
            <w:tcW w:w="1350" w:type="dxa"/>
            <w:vMerge/>
            <w:vAlign w:val="center"/>
          </w:tcPr>
          <w:p w:rsidRPr="000F7AD5" w:rsidR="009205FE" w:rsidP="00A6759B" w:rsidRDefault="009205FE" w14:paraId="54AE84B2" w14:textId="77777777">
            <w:pPr>
              <w:tabs>
                <w:tab w:val="left" w:pos="-720"/>
              </w:tabs>
              <w:suppressAutoHyphens/>
              <w:jc w:val="center"/>
              <w:rPr>
                <w:sz w:val="22"/>
                <w:szCs w:val="22"/>
              </w:rPr>
            </w:pPr>
          </w:p>
        </w:tc>
        <w:tc>
          <w:tcPr>
            <w:tcW w:w="8550" w:type="dxa"/>
            <w:vAlign w:val="center"/>
          </w:tcPr>
          <w:p w:rsidRPr="000F7AD5" w:rsidR="009205FE" w:rsidP="00B145CC" w:rsidRDefault="009205FE" w14:paraId="462592EE" w14:textId="37CED91F">
            <w:pPr>
              <w:pStyle w:val="ListParagraph"/>
              <w:numPr>
                <w:ilvl w:val="0"/>
                <w:numId w:val="13"/>
              </w:numPr>
              <w:tabs>
                <w:tab w:val="left" w:pos="-720"/>
              </w:tabs>
              <w:suppressAutoHyphens/>
              <w:spacing w:before="18" w:after="126"/>
              <w:ind w:left="406"/>
              <w:rPr>
                <w:spacing w:val="-2"/>
                <w:sz w:val="22"/>
              </w:rPr>
            </w:pPr>
            <w:r w:rsidRPr="000F7AD5">
              <w:rPr>
                <w:spacing w:val="-3"/>
                <w:sz w:val="22"/>
              </w:rPr>
              <w:t xml:space="preserve">The Permittee shall maintain a record of the evaluation of TTV adapters for any new shave cream products (non-gel) in the files for a period of at least five (5) years and made available for </w:t>
            </w:r>
            <w:r w:rsidRPr="000F7AD5">
              <w:rPr>
                <w:sz w:val="22"/>
              </w:rPr>
              <w:t>MassDEP</w:t>
            </w:r>
            <w:r w:rsidRPr="000F7AD5">
              <w:rPr>
                <w:spacing w:val="-3"/>
                <w:sz w:val="22"/>
              </w:rPr>
              <w:t xml:space="preserve"> and USEPA inspection.</w:t>
            </w:r>
          </w:p>
        </w:tc>
      </w:tr>
      <w:tr w:rsidRPr="000F7AD5" w:rsidR="009205FE" w:rsidTr="0024134A" w14:paraId="0AF20DAD" w14:textId="77777777">
        <w:trPr>
          <w:cantSplit/>
        </w:trPr>
        <w:tc>
          <w:tcPr>
            <w:tcW w:w="1350" w:type="dxa"/>
            <w:vMerge/>
            <w:vAlign w:val="center"/>
          </w:tcPr>
          <w:p w:rsidRPr="000F7AD5" w:rsidR="009205FE" w:rsidP="00A6759B" w:rsidRDefault="009205FE" w14:paraId="6D9CD183" w14:textId="77777777">
            <w:pPr>
              <w:tabs>
                <w:tab w:val="left" w:pos="-720"/>
              </w:tabs>
              <w:suppressAutoHyphens/>
              <w:jc w:val="center"/>
              <w:rPr>
                <w:sz w:val="22"/>
                <w:szCs w:val="22"/>
              </w:rPr>
            </w:pPr>
          </w:p>
        </w:tc>
        <w:tc>
          <w:tcPr>
            <w:tcW w:w="8550" w:type="dxa"/>
            <w:vAlign w:val="center"/>
          </w:tcPr>
          <w:p w:rsidRPr="00A91DC2" w:rsidR="009205FE" w:rsidP="00A91DC2" w:rsidRDefault="009205FE" w14:paraId="12A97B76" w14:textId="1F69A438">
            <w:pPr>
              <w:pStyle w:val="ListParagraph"/>
              <w:numPr>
                <w:ilvl w:val="0"/>
                <w:numId w:val="13"/>
              </w:numPr>
              <w:tabs>
                <w:tab w:val="left" w:pos="-720"/>
              </w:tabs>
              <w:suppressAutoHyphens/>
              <w:ind w:left="406"/>
              <w:rPr>
                <w:spacing w:val="-3"/>
                <w:sz w:val="22"/>
              </w:rPr>
            </w:pPr>
            <w:r w:rsidRPr="000F7AD5">
              <w:rPr>
                <w:spacing w:val="-3"/>
                <w:sz w:val="22"/>
              </w:rPr>
              <w:t xml:space="preserve">The Permittee shall maintain records of </w:t>
            </w:r>
            <w:r w:rsidRPr="002E405F" w:rsidR="002E405F">
              <w:rPr>
                <w:spacing w:val="-3"/>
                <w:sz w:val="22"/>
                <w:highlight w:val="yellow"/>
              </w:rPr>
              <w:t>industrial cleaning solvent</w:t>
            </w:r>
            <w:r w:rsidRPr="000F7AD5">
              <w:rPr>
                <w:spacing w:val="-3"/>
                <w:sz w:val="22"/>
              </w:rPr>
              <w:t xml:space="preserve"> usage in the RACT Compliance Files for at least five (5) years and make them available for </w:t>
            </w:r>
            <w:r w:rsidRPr="000F7AD5">
              <w:rPr>
                <w:sz w:val="22"/>
              </w:rPr>
              <w:t>MassDEP</w:t>
            </w:r>
            <w:r w:rsidRPr="000F7AD5">
              <w:rPr>
                <w:spacing w:val="-3"/>
                <w:sz w:val="22"/>
              </w:rPr>
              <w:t xml:space="preserve"> and USEPA inspection. </w:t>
            </w:r>
          </w:p>
        </w:tc>
      </w:tr>
      <w:tr w:rsidRPr="000F7AD5" w:rsidR="009205FE" w:rsidTr="0024134A" w14:paraId="7460F862" w14:textId="77777777">
        <w:trPr>
          <w:cantSplit/>
        </w:trPr>
        <w:tc>
          <w:tcPr>
            <w:tcW w:w="1350" w:type="dxa"/>
            <w:vMerge/>
            <w:vAlign w:val="center"/>
          </w:tcPr>
          <w:p w:rsidRPr="000F7AD5" w:rsidR="009205FE" w:rsidP="00A6759B" w:rsidRDefault="009205FE" w14:paraId="030354FB" w14:textId="5C1285F5">
            <w:pPr>
              <w:tabs>
                <w:tab w:val="left" w:pos="-720"/>
              </w:tabs>
              <w:suppressAutoHyphens/>
              <w:jc w:val="center"/>
              <w:rPr>
                <w:szCs w:val="20"/>
              </w:rPr>
            </w:pPr>
          </w:p>
        </w:tc>
        <w:tc>
          <w:tcPr>
            <w:tcW w:w="8550" w:type="dxa"/>
            <w:vAlign w:val="center"/>
          </w:tcPr>
          <w:p w:rsidRPr="00DA76FB" w:rsidR="009205FE" w:rsidP="00B145CC" w:rsidRDefault="009205FE" w14:paraId="31DFDE54" w14:textId="281FBE48">
            <w:pPr>
              <w:pStyle w:val="ListParagraph"/>
              <w:numPr>
                <w:ilvl w:val="0"/>
                <w:numId w:val="13"/>
              </w:numPr>
              <w:tabs>
                <w:tab w:val="left" w:pos="-720"/>
              </w:tabs>
              <w:suppressAutoHyphens/>
              <w:ind w:left="406"/>
              <w:rPr>
                <w:spacing w:val="-3"/>
                <w:sz w:val="22"/>
              </w:rPr>
            </w:pPr>
            <w:r w:rsidRPr="00DA76FB">
              <w:rPr>
                <w:spacing w:val="-2"/>
                <w:sz w:val="22"/>
              </w:rPr>
              <w:t xml:space="preserve">The results of the required inspection, maintenance, and testing and the date upon which it was performed shall be recorded and posted conspicuously on or near each fuel utilization facility having an energy input capacity of </w:t>
            </w:r>
            <w:r w:rsidRPr="00DA76FB">
              <w:rPr>
                <w:spacing w:val="-2"/>
                <w:sz w:val="22"/>
                <w:u w:val="single"/>
              </w:rPr>
              <w:t>&gt;</w:t>
            </w:r>
            <w:r w:rsidRPr="00DA76FB">
              <w:rPr>
                <w:spacing w:val="-2"/>
                <w:sz w:val="22"/>
              </w:rPr>
              <w:t xml:space="preserve"> 3</w:t>
            </w:r>
            <w:r w:rsidRPr="00DA76FB">
              <w:rPr>
                <w:b/>
                <w:spacing w:val="-2"/>
                <w:sz w:val="22"/>
              </w:rPr>
              <w:t xml:space="preserve"> </w:t>
            </w:r>
            <w:r w:rsidRPr="00DA76FB">
              <w:rPr>
                <w:spacing w:val="-2"/>
                <w:sz w:val="22"/>
              </w:rPr>
              <w:t>MMBtu/hr, as provided in 310 CMR 7.04(4)(a) incorporated herein by reference.  Said records shall be maintained on site for a period of the five (5) most recent years.</w:t>
            </w:r>
          </w:p>
        </w:tc>
      </w:tr>
      <w:tr w:rsidRPr="000F7AD5" w:rsidR="009205FE" w:rsidTr="0024134A" w14:paraId="3DC14E93" w14:textId="77777777">
        <w:trPr>
          <w:cantSplit/>
        </w:trPr>
        <w:tc>
          <w:tcPr>
            <w:tcW w:w="1350" w:type="dxa"/>
            <w:vMerge w:val="restart"/>
            <w:vAlign w:val="center"/>
          </w:tcPr>
          <w:p w:rsidRPr="000F7AD5" w:rsidR="009205FE" w:rsidP="00A6759B" w:rsidRDefault="009205FE" w14:paraId="4725BD77" w14:textId="7ADB75B9">
            <w:pPr>
              <w:tabs>
                <w:tab w:val="left" w:pos="-720"/>
              </w:tabs>
              <w:suppressAutoHyphens/>
              <w:jc w:val="center"/>
              <w:rPr>
                <w:szCs w:val="20"/>
              </w:rPr>
            </w:pPr>
            <w:r w:rsidRPr="00B50968">
              <w:rPr>
                <w:szCs w:val="20"/>
              </w:rPr>
              <w:t>Facility-Wide</w:t>
            </w:r>
          </w:p>
        </w:tc>
        <w:tc>
          <w:tcPr>
            <w:tcW w:w="8550" w:type="dxa"/>
            <w:vAlign w:val="center"/>
          </w:tcPr>
          <w:p w:rsidRPr="00DA76FB" w:rsidR="009205FE" w:rsidP="00B145CC" w:rsidRDefault="009205FE" w14:paraId="0DE24D6F" w14:textId="238F0FEB">
            <w:pPr>
              <w:pStyle w:val="ListParagraph"/>
              <w:numPr>
                <w:ilvl w:val="0"/>
                <w:numId w:val="13"/>
              </w:numPr>
              <w:tabs>
                <w:tab w:val="left" w:pos="-720"/>
              </w:tabs>
              <w:suppressAutoHyphens/>
              <w:ind w:left="406"/>
              <w:rPr>
                <w:strike/>
                <w:spacing w:val="-2"/>
                <w:sz w:val="22"/>
              </w:rPr>
            </w:pPr>
            <w:r w:rsidRPr="00DA76FB">
              <w:rPr>
                <w:spacing w:val="-2"/>
                <w:sz w:val="22"/>
              </w:rPr>
              <w:t>The Permittee shall maintain fuel purchase records in order to demonstrate compliance with fuel sulfur content requirements as provided in 310 CMR 7.05(1) incorporated herein by reference. Said records shall be maintained on site for a period of the five (5) most recent years.</w:t>
            </w:r>
          </w:p>
        </w:tc>
      </w:tr>
      <w:tr w:rsidRPr="000F7AD5" w:rsidR="009205FE" w:rsidTr="0024134A" w14:paraId="0DD728E7" w14:textId="77777777">
        <w:trPr>
          <w:cantSplit/>
          <w:trHeight w:val="36"/>
        </w:trPr>
        <w:tc>
          <w:tcPr>
            <w:tcW w:w="1350" w:type="dxa"/>
            <w:vMerge/>
            <w:vAlign w:val="center"/>
          </w:tcPr>
          <w:p w:rsidRPr="000F7AD5" w:rsidR="009205FE" w:rsidP="00A6759B" w:rsidRDefault="009205FE" w14:paraId="6C6DE073" w14:textId="21B57277">
            <w:pPr>
              <w:tabs>
                <w:tab w:val="left" w:pos="-720"/>
              </w:tabs>
              <w:suppressAutoHyphens/>
              <w:jc w:val="center"/>
              <w:rPr>
                <w:szCs w:val="20"/>
              </w:rPr>
            </w:pPr>
          </w:p>
        </w:tc>
        <w:tc>
          <w:tcPr>
            <w:tcW w:w="8550" w:type="dxa"/>
            <w:vAlign w:val="center"/>
          </w:tcPr>
          <w:p w:rsidRPr="000F7AD5" w:rsidR="009205FE" w:rsidP="00B145CC" w:rsidRDefault="009205FE" w14:paraId="4E4899F5" w14:textId="1E74DCC3">
            <w:pPr>
              <w:pStyle w:val="ListParagraph"/>
              <w:numPr>
                <w:ilvl w:val="0"/>
                <w:numId w:val="13"/>
              </w:numPr>
              <w:tabs>
                <w:tab w:val="left" w:pos="-720"/>
                <w:tab w:val="left" w:pos="0"/>
                <w:tab w:val="left" w:pos="720"/>
              </w:tabs>
              <w:suppressAutoHyphens/>
              <w:spacing w:after="144"/>
              <w:ind w:left="406"/>
              <w:rPr>
                <w:sz w:val="22"/>
              </w:rPr>
            </w:pPr>
            <w:r w:rsidRPr="000F7AD5">
              <w:rPr>
                <w:sz w:val="22"/>
              </w:rPr>
              <w:t xml:space="preserve">The Permittee shall maintain records of monitoring and testing as required by </w:t>
            </w:r>
          </w:p>
          <w:p w:rsidRPr="000F7AD5" w:rsidR="009205FE" w:rsidP="00B6064D" w:rsidRDefault="009205FE" w14:paraId="52472159" w14:textId="77777777">
            <w:pPr>
              <w:pStyle w:val="ListParagraph"/>
              <w:tabs>
                <w:tab w:val="left" w:pos="-720"/>
                <w:tab w:val="left" w:pos="0"/>
                <w:tab w:val="left" w:pos="720"/>
              </w:tabs>
              <w:suppressAutoHyphens/>
              <w:spacing w:after="144"/>
              <w:ind w:left="406"/>
              <w:rPr>
                <w:sz w:val="22"/>
              </w:rPr>
            </w:pPr>
            <w:r w:rsidRPr="000F7AD5">
              <w:rPr>
                <w:sz w:val="22"/>
              </w:rPr>
              <w:t>Table 3.</w:t>
            </w:r>
          </w:p>
        </w:tc>
      </w:tr>
      <w:tr w:rsidRPr="000F7AD5" w:rsidR="009205FE" w:rsidTr="0024134A" w14:paraId="45F1A1E7" w14:textId="77777777">
        <w:trPr>
          <w:cantSplit/>
        </w:trPr>
        <w:tc>
          <w:tcPr>
            <w:tcW w:w="1350" w:type="dxa"/>
            <w:vMerge/>
            <w:vAlign w:val="center"/>
          </w:tcPr>
          <w:p w:rsidRPr="000F7AD5" w:rsidR="009205FE" w:rsidP="00A6759B" w:rsidRDefault="009205FE" w14:paraId="1248EA08" w14:textId="3E59CC8F">
            <w:pPr>
              <w:tabs>
                <w:tab w:val="left" w:pos="-720"/>
              </w:tabs>
              <w:suppressAutoHyphens/>
              <w:jc w:val="center"/>
              <w:rPr>
                <w:szCs w:val="20"/>
              </w:rPr>
            </w:pPr>
          </w:p>
        </w:tc>
        <w:tc>
          <w:tcPr>
            <w:tcW w:w="8550" w:type="dxa"/>
            <w:vAlign w:val="center"/>
          </w:tcPr>
          <w:p w:rsidRPr="000F7AD5" w:rsidR="009205FE" w:rsidP="00B145CC" w:rsidRDefault="009205FE" w14:paraId="1246ECA8" w14:textId="09A8E306">
            <w:pPr>
              <w:pStyle w:val="ListParagraph"/>
              <w:numPr>
                <w:ilvl w:val="0"/>
                <w:numId w:val="13"/>
              </w:numPr>
              <w:tabs>
                <w:tab w:val="left" w:pos="-720"/>
              </w:tabs>
              <w:suppressAutoHyphens/>
              <w:ind w:left="406"/>
              <w:rPr>
                <w:spacing w:val="-3"/>
                <w:sz w:val="22"/>
              </w:rPr>
            </w:pPr>
            <w:r w:rsidRPr="000F7AD5">
              <w:rPr>
                <w:sz w:val="22"/>
              </w:rPr>
              <w:t xml:space="preserve">The Permittee shall maintain a copy of this </w:t>
            </w:r>
            <w:r w:rsidRPr="000F7AD5">
              <w:rPr>
                <w:color w:val="000000"/>
                <w:sz w:val="22"/>
              </w:rPr>
              <w:t>Plan</w:t>
            </w:r>
            <w:r w:rsidRPr="000F7AD5">
              <w:rPr>
                <w:sz w:val="22"/>
              </w:rPr>
              <w:t xml:space="preserve"> Approval, underlying Application and the most up to date SOMP for the EU(s) approved herein on-site.</w:t>
            </w:r>
          </w:p>
        </w:tc>
      </w:tr>
      <w:tr w:rsidRPr="000F7AD5" w:rsidR="009205FE" w:rsidTr="0024134A" w14:paraId="7AC768BC" w14:textId="77777777">
        <w:trPr>
          <w:cantSplit/>
        </w:trPr>
        <w:tc>
          <w:tcPr>
            <w:tcW w:w="1350" w:type="dxa"/>
            <w:vMerge/>
            <w:vAlign w:val="center"/>
          </w:tcPr>
          <w:p w:rsidRPr="000F7AD5" w:rsidR="009205FE" w:rsidP="00A6759B" w:rsidRDefault="009205FE" w14:paraId="61DCEF96" w14:textId="13C1C2D4">
            <w:pPr>
              <w:tabs>
                <w:tab w:val="left" w:pos="-720"/>
              </w:tabs>
              <w:suppressAutoHyphens/>
              <w:jc w:val="center"/>
              <w:rPr>
                <w:szCs w:val="20"/>
              </w:rPr>
            </w:pPr>
          </w:p>
        </w:tc>
        <w:tc>
          <w:tcPr>
            <w:tcW w:w="8550" w:type="dxa"/>
            <w:vAlign w:val="center"/>
          </w:tcPr>
          <w:p w:rsidRPr="000F7AD5" w:rsidR="009205FE" w:rsidP="00B145CC" w:rsidRDefault="009205FE" w14:paraId="73E03112" w14:textId="7C0D5AC2">
            <w:pPr>
              <w:pStyle w:val="ListParagraph"/>
              <w:numPr>
                <w:ilvl w:val="0"/>
                <w:numId w:val="13"/>
              </w:numPr>
              <w:tabs>
                <w:tab w:val="left" w:pos="-720"/>
              </w:tabs>
              <w:suppressAutoHyphens/>
              <w:spacing w:before="18" w:after="126"/>
              <w:ind w:left="406"/>
              <w:rPr>
                <w:spacing w:val="-3"/>
                <w:sz w:val="22"/>
              </w:rPr>
            </w:pPr>
            <w:r w:rsidRPr="000F7AD5">
              <w:rPr>
                <w:sz w:val="22"/>
              </w:rPr>
              <w:t>The Permittee shall maintain a record of routine maintenance activities performed on the approved EU(s), and monitoring equipment. The records shall include, at a minimum, the type or a description of the maintenance performed and the date and time the work was completed.</w:t>
            </w:r>
          </w:p>
        </w:tc>
      </w:tr>
      <w:tr w:rsidRPr="000F7AD5" w:rsidR="009205FE" w:rsidTr="0024134A" w14:paraId="54F7DBEE" w14:textId="77777777">
        <w:trPr>
          <w:cantSplit/>
        </w:trPr>
        <w:tc>
          <w:tcPr>
            <w:tcW w:w="1350" w:type="dxa"/>
            <w:vMerge/>
            <w:vAlign w:val="center"/>
          </w:tcPr>
          <w:p w:rsidRPr="000F7AD5" w:rsidR="009205FE" w:rsidP="00A6759B" w:rsidRDefault="009205FE" w14:paraId="4F09F566" w14:textId="0D61CF75">
            <w:pPr>
              <w:tabs>
                <w:tab w:val="left" w:pos="-720"/>
              </w:tabs>
              <w:suppressAutoHyphens/>
              <w:jc w:val="center"/>
              <w:rPr>
                <w:sz w:val="22"/>
                <w:szCs w:val="22"/>
              </w:rPr>
            </w:pPr>
          </w:p>
        </w:tc>
        <w:tc>
          <w:tcPr>
            <w:tcW w:w="8550" w:type="dxa"/>
            <w:vAlign w:val="center"/>
          </w:tcPr>
          <w:p w:rsidRPr="000F7AD5" w:rsidR="009205FE" w:rsidP="00B145CC" w:rsidRDefault="009205FE" w14:paraId="4C1822B2" w14:textId="1F64DBD8">
            <w:pPr>
              <w:pStyle w:val="ListParagraph"/>
              <w:numPr>
                <w:ilvl w:val="0"/>
                <w:numId w:val="13"/>
              </w:numPr>
              <w:tabs>
                <w:tab w:val="left" w:pos="-720"/>
              </w:tabs>
              <w:suppressAutoHyphens/>
              <w:ind w:left="406"/>
              <w:rPr>
                <w:spacing w:val="-3"/>
                <w:sz w:val="22"/>
              </w:rPr>
            </w:pPr>
            <w:r w:rsidRPr="000F7AD5">
              <w:rPr>
                <w:sz w:val="22"/>
              </w:rPr>
              <w:t>The Permittee shall maintain a record of all malfunctions affecting air contaminant emission rates on the approved EU(s) and monitoring equipment. At a minimum, the records shall include:  date and time the malfunction occurred; description of the malfunction; corrective actions taken; the date and time corrective actions were initiated and completed; and the date and time emission rates and monitoring equipment returned to compliant operation.</w:t>
            </w:r>
          </w:p>
        </w:tc>
      </w:tr>
      <w:tr w:rsidRPr="000F7AD5" w:rsidR="009205FE" w:rsidTr="0024134A" w14:paraId="0E532D82" w14:textId="77777777">
        <w:trPr>
          <w:cantSplit/>
        </w:trPr>
        <w:tc>
          <w:tcPr>
            <w:tcW w:w="1350" w:type="dxa"/>
            <w:vMerge/>
            <w:vAlign w:val="center"/>
          </w:tcPr>
          <w:p w:rsidRPr="000F7AD5" w:rsidR="009205FE" w:rsidP="00A6759B" w:rsidRDefault="009205FE" w14:paraId="43BD2E6D" w14:textId="77777777">
            <w:pPr>
              <w:tabs>
                <w:tab w:val="left" w:pos="-720"/>
              </w:tabs>
              <w:suppressAutoHyphens/>
              <w:jc w:val="center"/>
              <w:rPr>
                <w:szCs w:val="20"/>
              </w:rPr>
            </w:pPr>
          </w:p>
        </w:tc>
        <w:tc>
          <w:tcPr>
            <w:tcW w:w="8550" w:type="dxa"/>
            <w:vAlign w:val="center"/>
          </w:tcPr>
          <w:p w:rsidRPr="000F7AD5" w:rsidR="009205FE" w:rsidP="00B145CC" w:rsidRDefault="009205FE" w14:paraId="738D49C0" w14:textId="3DA504A5">
            <w:pPr>
              <w:pStyle w:val="ListParagraph"/>
              <w:numPr>
                <w:ilvl w:val="0"/>
                <w:numId w:val="13"/>
              </w:numPr>
              <w:tabs>
                <w:tab w:val="left" w:pos="-720"/>
              </w:tabs>
              <w:suppressAutoHyphens/>
              <w:ind w:left="406"/>
              <w:rPr>
                <w:sz w:val="22"/>
              </w:rPr>
            </w:pPr>
            <w:r w:rsidRPr="000F7AD5">
              <w:rPr>
                <w:sz w:val="22"/>
              </w:rPr>
              <w:t>The Permittee shall maintain records to ensure sufficient information is available to comply with 310 CMR 7.12 Source Registration</w:t>
            </w:r>
            <w:r w:rsidRPr="000F7AD5">
              <w:t xml:space="preserve"> </w:t>
            </w:r>
            <w:r w:rsidRPr="000F7AD5">
              <w:rPr>
                <w:sz w:val="22"/>
              </w:rPr>
              <w:t>and 310 CMR 7.71 Greenhouse Gas Reporting, as applicable</w:t>
            </w:r>
          </w:p>
        </w:tc>
      </w:tr>
      <w:tr w:rsidRPr="000F7AD5" w:rsidR="009205FE" w:rsidTr="0024134A" w14:paraId="33DE0676" w14:textId="77777777">
        <w:trPr>
          <w:cantSplit/>
        </w:trPr>
        <w:tc>
          <w:tcPr>
            <w:tcW w:w="1350" w:type="dxa"/>
            <w:vMerge/>
            <w:vAlign w:val="center"/>
          </w:tcPr>
          <w:p w:rsidRPr="000F7AD5" w:rsidR="009205FE" w:rsidP="00A6759B" w:rsidRDefault="009205FE" w14:paraId="2805974A" w14:textId="77777777">
            <w:pPr>
              <w:tabs>
                <w:tab w:val="left" w:pos="-720"/>
              </w:tabs>
              <w:suppressAutoHyphens/>
              <w:jc w:val="center"/>
              <w:rPr>
                <w:szCs w:val="20"/>
              </w:rPr>
            </w:pPr>
          </w:p>
        </w:tc>
        <w:tc>
          <w:tcPr>
            <w:tcW w:w="8550" w:type="dxa"/>
            <w:vAlign w:val="center"/>
          </w:tcPr>
          <w:p w:rsidRPr="000F7AD5" w:rsidR="009205FE" w:rsidP="00B145CC" w:rsidRDefault="009205FE" w14:paraId="7989BB29" w14:textId="1AD6EECE">
            <w:pPr>
              <w:pStyle w:val="ListParagraph"/>
              <w:numPr>
                <w:ilvl w:val="0"/>
                <w:numId w:val="13"/>
              </w:numPr>
              <w:tabs>
                <w:tab w:val="left" w:pos="-720"/>
              </w:tabs>
              <w:suppressAutoHyphens/>
              <w:ind w:left="406"/>
              <w:rPr>
                <w:sz w:val="22"/>
              </w:rPr>
            </w:pPr>
            <w:r w:rsidRPr="000F7AD5">
              <w:rPr>
                <w:sz w:val="22"/>
              </w:rPr>
              <w:t xml:space="preserve">The Permittee </w:t>
            </w:r>
            <w:r w:rsidRPr="000F7AD5">
              <w:rPr>
                <w:color w:val="000000"/>
                <w:sz w:val="22"/>
              </w:rPr>
              <w:t>shall</w:t>
            </w:r>
            <w:r w:rsidRPr="000F7AD5">
              <w:rPr>
                <w:sz w:val="22"/>
              </w:rPr>
              <w:t xml:space="preserve"> maintain records required by this Plan Approval on-site for a minimum of five (5) years.</w:t>
            </w:r>
          </w:p>
        </w:tc>
      </w:tr>
      <w:tr w:rsidRPr="000F7AD5" w:rsidR="009205FE" w:rsidTr="0024134A" w14:paraId="2BD78D14" w14:textId="77777777">
        <w:trPr>
          <w:cantSplit/>
        </w:trPr>
        <w:tc>
          <w:tcPr>
            <w:tcW w:w="1350" w:type="dxa"/>
            <w:vMerge/>
            <w:vAlign w:val="center"/>
          </w:tcPr>
          <w:p w:rsidRPr="000F7AD5" w:rsidR="009205FE" w:rsidP="00A6759B" w:rsidRDefault="009205FE" w14:paraId="67AAAC5D" w14:textId="77777777">
            <w:pPr>
              <w:tabs>
                <w:tab w:val="left" w:pos="-720"/>
              </w:tabs>
              <w:suppressAutoHyphens/>
              <w:jc w:val="center"/>
              <w:rPr>
                <w:szCs w:val="20"/>
              </w:rPr>
            </w:pPr>
          </w:p>
        </w:tc>
        <w:tc>
          <w:tcPr>
            <w:tcW w:w="8550" w:type="dxa"/>
            <w:vAlign w:val="center"/>
          </w:tcPr>
          <w:p w:rsidRPr="000F7AD5" w:rsidR="009205FE" w:rsidP="00B145CC" w:rsidRDefault="009205FE" w14:paraId="19A36146" w14:textId="1D970C40">
            <w:pPr>
              <w:pStyle w:val="ListParagraph"/>
              <w:numPr>
                <w:ilvl w:val="0"/>
                <w:numId w:val="13"/>
              </w:numPr>
              <w:tabs>
                <w:tab w:val="left" w:pos="-720"/>
              </w:tabs>
              <w:suppressAutoHyphens/>
              <w:ind w:left="406"/>
              <w:rPr>
                <w:sz w:val="22"/>
              </w:rPr>
            </w:pPr>
            <w:r w:rsidRPr="000F7AD5">
              <w:rPr>
                <w:sz w:val="22"/>
              </w:rPr>
              <w:t>The Permittee shall make records required by this Plan Approval available to MassDEP and USEPA personnel upon request.</w:t>
            </w:r>
          </w:p>
        </w:tc>
      </w:tr>
    </w:tbl>
    <w:p w:rsidR="00B50968" w:rsidP="003559E6" w:rsidRDefault="00B50968" w14:paraId="5EEADA5B" w14:textId="77777777">
      <w:pPr>
        <w:ind w:left="90"/>
        <w:rPr>
          <w:b/>
          <w:bCs/>
          <w:sz w:val="18"/>
          <w:szCs w:val="18"/>
        </w:rPr>
      </w:pPr>
    </w:p>
    <w:p w:rsidRPr="000F7AD5" w:rsidR="00732187" w:rsidP="003559E6" w:rsidRDefault="00DD6B49" w14:paraId="779F5681" w14:textId="0C2E1511">
      <w:pPr>
        <w:ind w:left="90"/>
        <w:rPr>
          <w:i/>
          <w:sz w:val="18"/>
          <w:szCs w:val="18"/>
        </w:rPr>
      </w:pPr>
      <w:r w:rsidRPr="000F7AD5">
        <w:rPr>
          <w:b/>
          <w:bCs/>
          <w:sz w:val="18"/>
          <w:szCs w:val="18"/>
        </w:rPr>
        <w:t>Table 4 Key:</w:t>
      </w:r>
    </w:p>
    <w:p w:rsidRPr="000F7AD5" w:rsidR="00F85337" w:rsidP="00651236" w:rsidRDefault="00F85337" w14:paraId="779F5682" w14:textId="77777777">
      <w:pPr>
        <w:tabs>
          <w:tab w:val="left" w:pos="-720"/>
          <w:tab w:val="left" w:pos="360"/>
        </w:tabs>
        <w:suppressAutoHyphens/>
        <w:ind w:left="180"/>
        <w:rPr>
          <w:bCs/>
          <w:spacing w:val="-2"/>
          <w:sz w:val="18"/>
          <w:szCs w:val="18"/>
        </w:rPr>
      </w:pPr>
    </w:p>
    <w:tbl>
      <w:tblPr>
        <w:tblStyle w:val="TableGrid"/>
        <w:tblW w:w="9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0"/>
        <w:gridCol w:w="4860"/>
      </w:tblGrid>
      <w:tr w:rsidRPr="000F7AD5" w:rsidR="00656C0B" w:rsidTr="00656C0B" w14:paraId="779F5685" w14:textId="77777777">
        <w:trPr>
          <w:cantSplit/>
          <w:trHeight w:val="70"/>
        </w:trPr>
        <w:tc>
          <w:tcPr>
            <w:tcW w:w="4860" w:type="dxa"/>
          </w:tcPr>
          <w:p w:rsidRPr="000F7AD5" w:rsidR="00656C0B" w:rsidP="00732187" w:rsidRDefault="00656C0B" w14:paraId="6B63F62B" w14:textId="69B39BBC">
            <w:pPr>
              <w:tabs>
                <w:tab w:val="left" w:pos="-720"/>
                <w:tab w:val="left" w:pos="360"/>
              </w:tabs>
              <w:suppressAutoHyphens/>
              <w:rPr>
                <w:bCs/>
                <w:spacing w:val="-2"/>
                <w:sz w:val="18"/>
                <w:szCs w:val="18"/>
              </w:rPr>
            </w:pPr>
            <w:bookmarkStart w:name="_Hlk101448876" w:id="11"/>
            <w:r w:rsidRPr="000F7AD5">
              <w:rPr>
                <w:bCs/>
                <w:spacing w:val="-2"/>
                <w:sz w:val="18"/>
                <w:szCs w:val="18"/>
              </w:rPr>
              <w:t>EU = Emission Unit</w:t>
            </w:r>
          </w:p>
          <w:p w:rsidRPr="000F7AD5" w:rsidR="00656C0B" w:rsidP="00732187" w:rsidRDefault="00656C0B" w14:paraId="779F5683" w14:textId="2C1F46BA">
            <w:pPr>
              <w:tabs>
                <w:tab w:val="left" w:pos="-720"/>
                <w:tab w:val="left" w:pos="360"/>
              </w:tabs>
              <w:suppressAutoHyphens/>
              <w:rPr>
                <w:bCs/>
                <w:spacing w:val="-2"/>
                <w:sz w:val="18"/>
                <w:szCs w:val="18"/>
              </w:rPr>
            </w:pPr>
            <w:r w:rsidRPr="000F7AD5">
              <w:rPr>
                <w:bCs/>
                <w:spacing w:val="-2"/>
                <w:sz w:val="18"/>
                <w:szCs w:val="18"/>
              </w:rPr>
              <w:t xml:space="preserve">MassDEP = Massachusetts Department of Environmental Protection </w:t>
            </w:r>
          </w:p>
        </w:tc>
        <w:tc>
          <w:tcPr>
            <w:tcW w:w="4860" w:type="dxa"/>
            <w:vMerge w:val="restart"/>
          </w:tcPr>
          <w:p w:rsidRPr="000F7AD5" w:rsidR="00656C0B" w:rsidP="00732187" w:rsidRDefault="00656C0B" w14:paraId="54F430E2" w14:textId="77777777">
            <w:pPr>
              <w:tabs>
                <w:tab w:val="left" w:pos="-720"/>
                <w:tab w:val="left" w:pos="360"/>
              </w:tabs>
              <w:suppressAutoHyphens/>
              <w:ind w:left="69"/>
              <w:rPr>
                <w:spacing w:val="-2"/>
                <w:sz w:val="18"/>
                <w:szCs w:val="18"/>
              </w:rPr>
            </w:pPr>
            <w:r w:rsidRPr="000F7AD5">
              <w:rPr>
                <w:sz w:val="18"/>
                <w:szCs w:val="18"/>
              </w:rPr>
              <w:t>USEPA = United States Environmental Protection Agency</w:t>
            </w:r>
          </w:p>
          <w:p w:rsidRPr="000F7AD5" w:rsidR="00656C0B" w:rsidP="00732187" w:rsidRDefault="00656C0B" w14:paraId="3C2920A5" w14:textId="77777777">
            <w:pPr>
              <w:tabs>
                <w:tab w:val="left" w:pos="-720"/>
                <w:tab w:val="left" w:pos="360"/>
              </w:tabs>
              <w:suppressAutoHyphens/>
              <w:ind w:left="69"/>
              <w:rPr>
                <w:sz w:val="18"/>
                <w:szCs w:val="18"/>
              </w:rPr>
            </w:pPr>
            <w:r w:rsidRPr="000F7AD5">
              <w:rPr>
                <w:spacing w:val="-2"/>
                <w:sz w:val="18"/>
                <w:szCs w:val="18"/>
              </w:rPr>
              <w:t>PTE = Permanent Total Enclosure</w:t>
            </w:r>
            <w:r w:rsidRPr="000F7AD5">
              <w:rPr>
                <w:sz w:val="18"/>
                <w:szCs w:val="18"/>
              </w:rPr>
              <w:t xml:space="preserve"> </w:t>
            </w:r>
          </w:p>
          <w:p w:rsidRPr="000F7AD5" w:rsidR="00656C0B" w:rsidP="00732187" w:rsidRDefault="00656C0B" w14:paraId="772226A8" w14:textId="77777777">
            <w:pPr>
              <w:tabs>
                <w:tab w:val="left" w:pos="-720"/>
                <w:tab w:val="left" w:pos="360"/>
              </w:tabs>
              <w:suppressAutoHyphens/>
              <w:ind w:left="69"/>
              <w:rPr>
                <w:sz w:val="18"/>
                <w:szCs w:val="18"/>
              </w:rPr>
            </w:pPr>
            <w:r w:rsidRPr="000F7AD5">
              <w:rPr>
                <w:sz w:val="18"/>
                <w:szCs w:val="18"/>
              </w:rPr>
              <w:t>SOMP = Standard Operating and Maintenance Procedure</w:t>
            </w:r>
          </w:p>
          <w:p w:rsidRPr="000F7AD5" w:rsidR="00656C0B" w:rsidP="00732187" w:rsidRDefault="00656C0B" w14:paraId="19337A79" w14:textId="77777777">
            <w:pPr>
              <w:tabs>
                <w:tab w:val="left" w:pos="-720"/>
                <w:tab w:val="left" w:pos="360"/>
              </w:tabs>
              <w:suppressAutoHyphens/>
              <w:ind w:left="69"/>
              <w:rPr>
                <w:spacing w:val="-2"/>
                <w:sz w:val="18"/>
                <w:szCs w:val="18"/>
              </w:rPr>
            </w:pPr>
            <w:r w:rsidRPr="000F7AD5">
              <w:rPr>
                <w:spacing w:val="-2"/>
                <w:sz w:val="18"/>
                <w:szCs w:val="18"/>
              </w:rPr>
              <w:t>% = percentage</w:t>
            </w:r>
          </w:p>
          <w:p w:rsidRPr="000F7AD5" w:rsidR="00656C0B" w:rsidP="00732187" w:rsidRDefault="00656C0B" w14:paraId="779F5684" w14:textId="3A2DF693">
            <w:pPr>
              <w:tabs>
                <w:tab w:val="left" w:pos="-720"/>
                <w:tab w:val="left" w:pos="360"/>
              </w:tabs>
              <w:suppressAutoHyphens/>
              <w:ind w:left="69"/>
              <w:rPr>
                <w:spacing w:val="-2"/>
                <w:sz w:val="18"/>
                <w:szCs w:val="18"/>
              </w:rPr>
            </w:pPr>
            <w:r w:rsidRPr="000F7AD5">
              <w:rPr>
                <w:spacing w:val="-2"/>
                <w:sz w:val="18"/>
                <w:szCs w:val="18"/>
              </w:rPr>
              <w:t>CMR = Code of Massachusetts Regulations</w:t>
            </w:r>
          </w:p>
        </w:tc>
      </w:tr>
      <w:tr w:rsidRPr="000F7AD5" w:rsidR="00656C0B" w:rsidTr="00732187" w14:paraId="50634990" w14:textId="77777777">
        <w:trPr>
          <w:cantSplit/>
          <w:trHeight w:val="288"/>
        </w:trPr>
        <w:tc>
          <w:tcPr>
            <w:tcW w:w="4860" w:type="dxa"/>
          </w:tcPr>
          <w:p w:rsidR="00656C0B" w:rsidP="00732187" w:rsidRDefault="00656C0B" w14:paraId="41829FD5" w14:textId="77777777">
            <w:pPr>
              <w:tabs>
                <w:tab w:val="left" w:pos="-720"/>
                <w:tab w:val="left" w:pos="360"/>
              </w:tabs>
              <w:suppressAutoHyphens/>
              <w:rPr>
                <w:rFonts w:cs="Courier New"/>
                <w:sz w:val="18"/>
                <w:szCs w:val="18"/>
              </w:rPr>
            </w:pPr>
            <w:r w:rsidRPr="000F7AD5">
              <w:rPr>
                <w:rFonts w:cs="Courier New"/>
                <w:sz w:val="18"/>
                <w:szCs w:val="18"/>
              </w:rPr>
              <w:t>≥ = greater than or equal to</w:t>
            </w:r>
          </w:p>
          <w:p w:rsidRPr="00D54C68" w:rsidR="00D54C68" w:rsidP="00D54C68" w:rsidRDefault="00D54C68" w14:paraId="4903809E" w14:textId="77777777">
            <w:pPr>
              <w:tabs>
                <w:tab w:val="left" w:pos="-720"/>
                <w:tab w:val="left" w:pos="360"/>
              </w:tabs>
              <w:suppressAutoHyphens/>
              <w:rPr>
                <w:rFonts w:cs="Courier New"/>
                <w:bCs/>
                <w:sz w:val="18"/>
                <w:szCs w:val="18"/>
              </w:rPr>
            </w:pPr>
            <w:r w:rsidRPr="00D54C68">
              <w:rPr>
                <w:rFonts w:cs="Courier New"/>
                <w:bCs/>
                <w:sz w:val="18"/>
                <w:szCs w:val="18"/>
              </w:rPr>
              <w:t xml:space="preserve">VOC = Volatile Organic Compounds </w:t>
            </w:r>
          </w:p>
          <w:p w:rsidRPr="00D54C68" w:rsidR="00D54C68" w:rsidP="00D54C68" w:rsidRDefault="00D54C68" w14:paraId="2F257606" w14:textId="77777777">
            <w:pPr>
              <w:tabs>
                <w:tab w:val="left" w:pos="-720"/>
                <w:tab w:val="left" w:pos="360"/>
              </w:tabs>
              <w:suppressAutoHyphens/>
              <w:rPr>
                <w:rFonts w:cs="Courier New"/>
                <w:bCs/>
                <w:sz w:val="18"/>
                <w:szCs w:val="18"/>
              </w:rPr>
            </w:pPr>
            <w:r w:rsidRPr="00D54C68">
              <w:rPr>
                <w:rFonts w:cs="Courier New"/>
                <w:bCs/>
                <w:sz w:val="18"/>
                <w:szCs w:val="18"/>
              </w:rPr>
              <w:t>PM = Total Particulate Matter</w:t>
            </w:r>
          </w:p>
          <w:p w:rsidR="00D54C68" w:rsidP="00D54C68" w:rsidRDefault="00D54C68" w14:paraId="4B2D92A1" w14:textId="77777777">
            <w:pPr>
              <w:tabs>
                <w:tab w:val="left" w:pos="-720"/>
                <w:tab w:val="left" w:pos="360"/>
              </w:tabs>
              <w:suppressAutoHyphens/>
              <w:rPr>
                <w:rFonts w:cs="Courier New"/>
                <w:bCs/>
                <w:sz w:val="18"/>
                <w:szCs w:val="18"/>
              </w:rPr>
            </w:pPr>
            <w:r w:rsidRPr="00D54C68">
              <w:rPr>
                <w:rFonts w:cs="Courier New"/>
                <w:bCs/>
                <w:sz w:val="18"/>
                <w:szCs w:val="18"/>
              </w:rPr>
              <w:t>PM</w:t>
            </w:r>
            <w:r w:rsidRPr="00D54C68">
              <w:rPr>
                <w:rFonts w:cs="Courier New"/>
                <w:bCs/>
                <w:sz w:val="18"/>
                <w:szCs w:val="18"/>
                <w:vertAlign w:val="subscript"/>
              </w:rPr>
              <w:t>2.5</w:t>
            </w:r>
            <w:r w:rsidRPr="00D54C68">
              <w:rPr>
                <w:rFonts w:cs="Courier New"/>
                <w:bCs/>
                <w:sz w:val="18"/>
                <w:szCs w:val="18"/>
              </w:rPr>
              <w:t xml:space="preserve"> = Particulate Matter less than or equal to 2.5 microns in diameter</w:t>
            </w:r>
          </w:p>
          <w:p w:rsidRPr="00D54C68" w:rsidR="00786588" w:rsidP="00D54C68" w:rsidRDefault="00786588" w14:paraId="744DDB85" w14:textId="126BC0D3">
            <w:pPr>
              <w:tabs>
                <w:tab w:val="left" w:pos="-720"/>
                <w:tab w:val="left" w:pos="360"/>
              </w:tabs>
              <w:suppressAutoHyphens/>
              <w:rPr>
                <w:rFonts w:cs="Courier New"/>
                <w:bCs/>
                <w:sz w:val="18"/>
                <w:szCs w:val="18"/>
              </w:rPr>
            </w:pPr>
            <w:r>
              <w:rPr>
                <w:rFonts w:cs="Courier New"/>
                <w:bCs/>
                <w:sz w:val="18"/>
                <w:szCs w:val="18"/>
              </w:rPr>
              <w:t>HAP – Hazardous Air Emissions</w:t>
            </w:r>
          </w:p>
          <w:p w:rsidRPr="000F7AD5" w:rsidR="00D54C68" w:rsidP="00732187" w:rsidRDefault="00D54C68" w14:paraId="17D6D7BD" w14:textId="40F1F7D2">
            <w:pPr>
              <w:tabs>
                <w:tab w:val="left" w:pos="-720"/>
                <w:tab w:val="left" w:pos="360"/>
              </w:tabs>
              <w:suppressAutoHyphens/>
              <w:rPr>
                <w:bCs/>
                <w:spacing w:val="-2"/>
                <w:sz w:val="18"/>
                <w:szCs w:val="18"/>
              </w:rPr>
            </w:pPr>
          </w:p>
        </w:tc>
        <w:tc>
          <w:tcPr>
            <w:tcW w:w="4860" w:type="dxa"/>
            <w:vMerge/>
          </w:tcPr>
          <w:p w:rsidRPr="000F7AD5" w:rsidR="00656C0B" w:rsidP="00732187" w:rsidRDefault="00656C0B" w14:paraId="281F35E5" w14:textId="7AAE500F">
            <w:pPr>
              <w:tabs>
                <w:tab w:val="left" w:pos="-720"/>
                <w:tab w:val="left" w:pos="360"/>
              </w:tabs>
              <w:suppressAutoHyphens/>
              <w:ind w:left="69"/>
              <w:rPr>
                <w:spacing w:val="-2"/>
                <w:sz w:val="18"/>
                <w:szCs w:val="18"/>
              </w:rPr>
            </w:pPr>
          </w:p>
        </w:tc>
      </w:tr>
      <w:tr w:rsidRPr="000F7AD5" w:rsidR="00656C0B" w:rsidTr="00732187" w14:paraId="779F5688" w14:textId="77777777">
        <w:trPr>
          <w:cantSplit/>
          <w:trHeight w:val="288"/>
        </w:trPr>
        <w:tc>
          <w:tcPr>
            <w:tcW w:w="4860" w:type="dxa"/>
          </w:tcPr>
          <w:p w:rsidRPr="000F7AD5" w:rsidR="00656C0B" w:rsidP="00732187" w:rsidRDefault="00656C0B" w14:paraId="779F5686" w14:textId="1DBD19DE">
            <w:pPr>
              <w:tabs>
                <w:tab w:val="left" w:pos="-720"/>
                <w:tab w:val="left" w:pos="360"/>
              </w:tabs>
              <w:suppressAutoHyphens/>
              <w:rPr>
                <w:sz w:val="18"/>
                <w:szCs w:val="18"/>
              </w:rPr>
            </w:pPr>
          </w:p>
        </w:tc>
        <w:tc>
          <w:tcPr>
            <w:tcW w:w="4860" w:type="dxa"/>
            <w:vMerge/>
          </w:tcPr>
          <w:p w:rsidRPr="000F7AD5" w:rsidR="00656C0B" w:rsidP="00732187" w:rsidRDefault="00656C0B" w14:paraId="779F5687" w14:textId="47F7CDB0">
            <w:pPr>
              <w:tabs>
                <w:tab w:val="left" w:pos="-720"/>
                <w:tab w:val="left" w:pos="360"/>
              </w:tabs>
              <w:suppressAutoHyphens/>
              <w:ind w:left="69"/>
              <w:rPr>
                <w:spacing w:val="-2"/>
                <w:sz w:val="18"/>
                <w:szCs w:val="18"/>
              </w:rPr>
            </w:pPr>
          </w:p>
        </w:tc>
      </w:tr>
      <w:bookmarkEnd w:id="11"/>
      <w:tr w:rsidRPr="000F7AD5" w:rsidR="00656C0B" w:rsidTr="00732187" w14:paraId="779F568B" w14:textId="77777777">
        <w:trPr>
          <w:cantSplit/>
          <w:trHeight w:val="288"/>
        </w:trPr>
        <w:tc>
          <w:tcPr>
            <w:tcW w:w="4860" w:type="dxa"/>
          </w:tcPr>
          <w:p w:rsidRPr="000F7AD5" w:rsidR="00656C0B" w:rsidP="00732187" w:rsidRDefault="00656C0B" w14:paraId="779F5689" w14:textId="542707F2">
            <w:pPr>
              <w:tabs>
                <w:tab w:val="left" w:pos="-720"/>
                <w:tab w:val="left" w:pos="360"/>
              </w:tabs>
              <w:suppressAutoHyphens/>
              <w:rPr>
                <w:bCs/>
                <w:spacing w:val="-2"/>
                <w:sz w:val="18"/>
                <w:szCs w:val="18"/>
              </w:rPr>
            </w:pPr>
          </w:p>
        </w:tc>
        <w:tc>
          <w:tcPr>
            <w:tcW w:w="4860" w:type="dxa"/>
          </w:tcPr>
          <w:p w:rsidRPr="000F7AD5" w:rsidR="00656C0B" w:rsidP="00732187" w:rsidRDefault="00656C0B" w14:paraId="779F568A" w14:textId="77777777">
            <w:pPr>
              <w:tabs>
                <w:tab w:val="left" w:pos="-720"/>
                <w:tab w:val="left" w:pos="360"/>
              </w:tabs>
              <w:suppressAutoHyphens/>
              <w:ind w:left="69"/>
              <w:rPr>
                <w:spacing w:val="-2"/>
                <w:sz w:val="18"/>
                <w:szCs w:val="18"/>
              </w:rPr>
            </w:pPr>
          </w:p>
        </w:tc>
      </w:tr>
    </w:tbl>
    <w:p w:rsidR="000954E8" w:rsidP="00647B7D" w:rsidRDefault="000954E8" w14:paraId="5FF918C9" w14:textId="77777777">
      <w:pPr>
        <w:jc w:val="center"/>
        <w:rPr>
          <w:b/>
          <w:sz w:val="28"/>
          <w:szCs w:val="28"/>
        </w:rPr>
      </w:pPr>
    </w:p>
    <w:p w:rsidR="000954E8" w:rsidRDefault="000954E8" w14:paraId="07D0EC76" w14:textId="77777777">
      <w:pPr>
        <w:rPr>
          <w:b/>
          <w:sz w:val="28"/>
          <w:szCs w:val="28"/>
        </w:rPr>
      </w:pPr>
      <w:r>
        <w:rPr>
          <w:b/>
          <w:sz w:val="28"/>
          <w:szCs w:val="28"/>
        </w:rPr>
        <w:br w:type="page"/>
      </w:r>
    </w:p>
    <w:p w:rsidRPr="000F7AD5" w:rsidR="00683F34" w:rsidP="00647B7D" w:rsidRDefault="004F53D2" w14:paraId="779F5694" w14:textId="7238CB01">
      <w:pPr>
        <w:jc w:val="center"/>
        <w:rPr>
          <w:sz w:val="28"/>
          <w:szCs w:val="28"/>
        </w:rPr>
        <w:sectPr w:rsidRPr="000F7AD5" w:rsidR="00683F34" w:rsidSect="00777A08">
          <w:type w:val="continuous"/>
          <w:pgSz w:w="12240" w:h="15840" w:code="1"/>
          <w:pgMar w:top="1440" w:right="1440" w:bottom="1440" w:left="1440" w:header="720" w:footer="144" w:gutter="0"/>
          <w:cols w:space="720"/>
          <w:docGrid w:linePitch="360"/>
        </w:sectPr>
      </w:pPr>
      <w:r w:rsidRPr="000F7AD5">
        <w:rPr>
          <w:b/>
          <w:sz w:val="28"/>
          <w:szCs w:val="28"/>
        </w:rPr>
        <w:t>Table 5</w:t>
      </w:r>
    </w:p>
    <w:tbl>
      <w:tblPr>
        <w:tblW w:w="10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00" w:firstRow="0" w:lastRow="0" w:firstColumn="0" w:lastColumn="0" w:noHBand="0" w:noVBand="0"/>
      </w:tblPr>
      <w:tblGrid>
        <w:gridCol w:w="1265"/>
        <w:gridCol w:w="9045"/>
      </w:tblGrid>
      <w:tr w:rsidRPr="000F7AD5" w:rsidR="00924460" w:rsidTr="001C36DE" w14:paraId="779F569A" w14:textId="77777777">
        <w:trPr>
          <w:trHeight w:val="434"/>
          <w:tblHeader/>
          <w:jc w:val="center"/>
        </w:trPr>
        <w:tc>
          <w:tcPr>
            <w:tcW w:w="1265" w:type="dxa"/>
            <w:shd w:val="clear" w:color="auto" w:fill="BFBFBF" w:themeFill="background1" w:themeFillShade="BF"/>
            <w:vAlign w:val="center"/>
          </w:tcPr>
          <w:p w:rsidRPr="000F7AD5" w:rsidR="00924460" w:rsidP="004479BA" w:rsidRDefault="002D2472" w14:paraId="779F5698" w14:textId="0C0CD179">
            <w:pPr>
              <w:jc w:val="center"/>
              <w:rPr>
                <w:b/>
              </w:rPr>
            </w:pPr>
            <w:r w:rsidRPr="000F7AD5">
              <w:rPr>
                <w:b/>
              </w:rPr>
              <w:t>EU</w:t>
            </w:r>
          </w:p>
        </w:tc>
        <w:tc>
          <w:tcPr>
            <w:tcW w:w="9045" w:type="dxa"/>
            <w:shd w:val="clear" w:color="auto" w:fill="BFBFBF" w:themeFill="background1" w:themeFillShade="BF"/>
            <w:vAlign w:val="center"/>
          </w:tcPr>
          <w:p w:rsidRPr="000F7AD5" w:rsidR="00924460" w:rsidP="002521C0" w:rsidRDefault="002D2472" w14:paraId="779F5699" w14:textId="77777777">
            <w:pPr>
              <w:keepNext/>
              <w:jc w:val="center"/>
              <w:rPr>
                <w:b/>
              </w:rPr>
            </w:pPr>
            <w:r w:rsidRPr="000F7AD5">
              <w:rPr>
                <w:b/>
              </w:rPr>
              <w:t>Reporting Requirements</w:t>
            </w:r>
          </w:p>
        </w:tc>
      </w:tr>
      <w:tr w:rsidRPr="000F7AD5" w:rsidR="00AF17D8" w:rsidTr="00DA76FB" w14:paraId="779F56A6" w14:textId="77777777">
        <w:trPr>
          <w:cantSplit/>
          <w:trHeight w:val="1638"/>
          <w:jc w:val="center"/>
        </w:trPr>
        <w:tc>
          <w:tcPr>
            <w:tcW w:w="1265" w:type="dxa"/>
            <w:shd w:val="clear" w:color="auto" w:fill="auto"/>
            <w:vAlign w:val="center"/>
          </w:tcPr>
          <w:p w:rsidRPr="00DA76FB" w:rsidR="00AF17D8" w:rsidP="002D06B9" w:rsidRDefault="00287E72" w14:paraId="779F56A4" w14:textId="21A94C84">
            <w:pPr>
              <w:jc w:val="center"/>
              <w:rPr>
                <w:sz w:val="22"/>
                <w:szCs w:val="22"/>
              </w:rPr>
            </w:pPr>
            <w:r w:rsidRPr="00DA76FB">
              <w:rPr>
                <w:sz w:val="22"/>
                <w:szCs w:val="22"/>
              </w:rPr>
              <w:t>EU27, EU28, EU29</w:t>
            </w:r>
          </w:p>
        </w:tc>
        <w:tc>
          <w:tcPr>
            <w:tcW w:w="9045" w:type="dxa"/>
            <w:shd w:val="clear" w:color="auto" w:fill="auto"/>
            <w:vAlign w:val="center"/>
          </w:tcPr>
          <w:p w:rsidRPr="00DA76FB" w:rsidR="00AF17D8" w:rsidP="002E43F2" w:rsidRDefault="009F1161" w14:paraId="779F56A5" w14:textId="7FF5E4FD">
            <w:pPr>
              <w:pStyle w:val="ListParagraph"/>
              <w:numPr>
                <w:ilvl w:val="0"/>
                <w:numId w:val="6"/>
              </w:numPr>
              <w:spacing w:before="20" w:after="80"/>
              <w:ind w:right="32"/>
              <w:rPr>
                <w:color w:val="000000"/>
                <w:sz w:val="22"/>
              </w:rPr>
            </w:pPr>
            <w:r w:rsidRPr="00DA76FB">
              <w:rPr>
                <w:color w:val="000000"/>
                <w:sz w:val="22"/>
              </w:rPr>
              <w:t>The Permittee shall submit, within 60 days of completion when the installation of the subject equipment, a Standard Operating and Maintenance Procedures (SOMP) to the MassDEP NERO BAW Permit Chief by email</w:t>
            </w:r>
            <w:r w:rsidRPr="007809BB" w:rsidR="007809BB">
              <w:rPr>
                <w:color w:val="000000"/>
                <w:sz w:val="22"/>
              </w:rPr>
              <w:t>:</w:t>
            </w:r>
            <w:r w:rsidR="00EC475C">
              <w:rPr>
                <w:color w:val="000000"/>
                <w:sz w:val="22"/>
              </w:rPr>
              <w:t xml:space="preserve"> </w:t>
            </w:r>
            <w:hyperlink w:history="1" r:id="rId16">
              <w:r w:rsidRPr="0077256C" w:rsidR="006A3862">
                <w:rPr>
                  <w:rStyle w:val="Hyperlink"/>
                  <w:sz w:val="22"/>
                </w:rPr>
                <w:t>NERO.Air@mass.gov</w:t>
              </w:r>
            </w:hyperlink>
            <w:r w:rsidRPr="00DA76FB">
              <w:rPr>
                <w:color w:val="000000"/>
                <w:sz w:val="22"/>
              </w:rPr>
              <w:t>. The SOMP shall include, but is not limited to, inspection and maintenance checklists for</w:t>
            </w:r>
            <w:r w:rsidRPr="00DA76FB" w:rsidR="00840F59">
              <w:rPr>
                <w:color w:val="000000"/>
                <w:sz w:val="22"/>
              </w:rPr>
              <w:t xml:space="preserve"> these operations</w:t>
            </w:r>
            <w:r w:rsidRPr="00DA76FB">
              <w:rPr>
                <w:color w:val="000000"/>
                <w:sz w:val="22"/>
              </w:rPr>
              <w:t>. Any updated versions of the SOMP shall be submitted to MassDEP at least thirty (30) days prior to implementation.</w:t>
            </w:r>
          </w:p>
        </w:tc>
      </w:tr>
      <w:tr w:rsidRPr="000F7AD5" w:rsidR="00245B45" w:rsidTr="00981B64" w14:paraId="6E83FECE" w14:textId="77777777">
        <w:trPr>
          <w:cantSplit/>
          <w:trHeight w:val="1187"/>
          <w:jc w:val="center"/>
        </w:trPr>
        <w:tc>
          <w:tcPr>
            <w:tcW w:w="1265" w:type="dxa"/>
            <w:vMerge w:val="restart"/>
            <w:shd w:val="clear" w:color="auto" w:fill="auto"/>
            <w:vAlign w:val="center"/>
          </w:tcPr>
          <w:p w:rsidRPr="000F7AD5" w:rsidR="00245B45" w:rsidP="002D06B9" w:rsidRDefault="00245B45" w14:paraId="025918E3" w14:textId="42DFC5CD">
            <w:pPr>
              <w:jc w:val="center"/>
              <w:rPr>
                <w:sz w:val="22"/>
                <w:szCs w:val="22"/>
              </w:rPr>
            </w:pPr>
            <w:r w:rsidRPr="000F7AD5">
              <w:rPr>
                <w:sz w:val="22"/>
                <w:szCs w:val="22"/>
              </w:rPr>
              <w:t>Facility-wide</w:t>
            </w:r>
          </w:p>
        </w:tc>
        <w:tc>
          <w:tcPr>
            <w:tcW w:w="9045" w:type="dxa"/>
            <w:shd w:val="clear" w:color="auto" w:fill="auto"/>
            <w:vAlign w:val="center"/>
          </w:tcPr>
          <w:p w:rsidRPr="000F7AD5" w:rsidR="00245B45" w:rsidP="002E43F2" w:rsidRDefault="00245B45" w14:paraId="2F1C5F62" w14:textId="7B4BCDE4">
            <w:pPr>
              <w:pStyle w:val="ListParagraph"/>
              <w:numPr>
                <w:ilvl w:val="0"/>
                <w:numId w:val="6"/>
              </w:numPr>
              <w:spacing w:before="20" w:after="80"/>
              <w:ind w:right="32"/>
              <w:rPr>
                <w:color w:val="000000"/>
                <w:sz w:val="22"/>
              </w:rPr>
            </w:pPr>
            <w:r w:rsidRPr="000F7AD5">
              <w:rPr>
                <w:color w:val="000000"/>
                <w:sz w:val="22"/>
              </w:rPr>
              <w:t>The Permittee shall report annually to MassDEP, in accordance with 310 CMR 7.71, all required greenhouse gas emissions, as applicable.</w:t>
            </w:r>
            <w:r w:rsidRPr="000F7AD5" w:rsidDel="00E014D6">
              <w:rPr>
                <w:color w:val="000000"/>
                <w:sz w:val="22"/>
              </w:rPr>
              <w:t xml:space="preserve"> </w:t>
            </w:r>
          </w:p>
        </w:tc>
      </w:tr>
      <w:tr w:rsidRPr="000F7AD5" w:rsidR="00245B45" w:rsidTr="00DA76FB" w14:paraId="4ACFF865" w14:textId="77777777">
        <w:trPr>
          <w:cantSplit/>
          <w:trHeight w:val="1440"/>
          <w:jc w:val="center"/>
        </w:trPr>
        <w:tc>
          <w:tcPr>
            <w:tcW w:w="1265" w:type="dxa"/>
            <w:vMerge/>
            <w:shd w:val="clear" w:color="auto" w:fill="auto"/>
            <w:vAlign w:val="center"/>
          </w:tcPr>
          <w:p w:rsidRPr="000F7AD5" w:rsidR="00245B45" w:rsidP="002C6A3F" w:rsidRDefault="00245B45" w14:paraId="5404BF15" w14:textId="57DE54D1">
            <w:pPr>
              <w:jc w:val="center"/>
              <w:rPr>
                <w:sz w:val="22"/>
                <w:szCs w:val="22"/>
              </w:rPr>
            </w:pPr>
          </w:p>
        </w:tc>
        <w:tc>
          <w:tcPr>
            <w:tcW w:w="9045" w:type="dxa"/>
            <w:shd w:val="clear" w:color="auto" w:fill="auto"/>
            <w:vAlign w:val="center"/>
          </w:tcPr>
          <w:p w:rsidRPr="00DA76FB" w:rsidR="00245B45" w:rsidP="00F77738" w:rsidRDefault="00245B45" w14:paraId="55236B15" w14:textId="2DF860E0">
            <w:pPr>
              <w:pStyle w:val="ListParagraph"/>
              <w:numPr>
                <w:ilvl w:val="0"/>
                <w:numId w:val="6"/>
              </w:numPr>
              <w:spacing w:before="20" w:after="80"/>
              <w:ind w:left="422" w:right="32" w:hanging="407"/>
              <w:rPr>
                <w:color w:val="000000"/>
                <w:sz w:val="22"/>
              </w:rPr>
            </w:pPr>
            <w:r w:rsidRPr="00DA76FB">
              <w:rPr>
                <w:color w:val="000000"/>
                <w:sz w:val="22"/>
              </w:rPr>
              <w:t>The Permittee shall submit to MassDEP NERO, attention BAW Permit Chie</w:t>
            </w:r>
            <w:r w:rsidR="00EC475C">
              <w:rPr>
                <w:color w:val="000000"/>
                <w:sz w:val="22"/>
              </w:rPr>
              <w:t>f</w:t>
            </w:r>
            <w:r w:rsidRPr="00EC475C" w:rsidR="00EC475C">
              <w:rPr>
                <w:rFonts w:eastAsia="Times New Roman" w:cs="Times New Roman"/>
                <w:color w:val="000000"/>
                <w:sz w:val="22"/>
                <w:szCs w:val="24"/>
              </w:rPr>
              <w:t xml:space="preserve"> </w:t>
            </w:r>
            <w:r w:rsidRPr="00EC475C" w:rsidR="00EC475C">
              <w:rPr>
                <w:color w:val="000000"/>
                <w:sz w:val="22"/>
              </w:rPr>
              <w:t>by email</w:t>
            </w:r>
            <w:r w:rsidRPr="007809BB" w:rsidR="007809BB">
              <w:rPr>
                <w:color w:val="000000"/>
                <w:sz w:val="22"/>
              </w:rPr>
              <w:t>:</w:t>
            </w:r>
            <w:r w:rsidRPr="00EC475C" w:rsidR="00EC475C">
              <w:rPr>
                <w:color w:val="000000"/>
                <w:sz w:val="22"/>
              </w:rPr>
              <w:t xml:space="preserve"> </w:t>
            </w:r>
            <w:hyperlink w:history="1" r:id="rId17">
              <w:r w:rsidRPr="0077256C" w:rsidR="006A3862">
                <w:rPr>
                  <w:rStyle w:val="Hyperlink"/>
                  <w:sz w:val="22"/>
                </w:rPr>
                <w:t>NERO.Air@mass.gov</w:t>
              </w:r>
            </w:hyperlink>
            <w:r w:rsidRPr="00DA76FB">
              <w:rPr>
                <w:color w:val="000000"/>
                <w:sz w:val="22"/>
              </w:rPr>
              <w:t xml:space="preserve"> a written test protocol for review and approval at least thirty (30) days prior to the commencement of any compliance testing.  This test protocol shall describe the test methodologies to be employed during the required compliance testing.  </w:t>
            </w:r>
          </w:p>
        </w:tc>
      </w:tr>
      <w:tr w:rsidRPr="000F7AD5" w:rsidR="00245B45" w:rsidTr="00DA76FB" w14:paraId="5A09D118" w14:textId="77777777">
        <w:trPr>
          <w:cantSplit/>
          <w:trHeight w:val="1296"/>
          <w:jc w:val="center"/>
        </w:trPr>
        <w:tc>
          <w:tcPr>
            <w:tcW w:w="1265" w:type="dxa"/>
            <w:vMerge/>
            <w:shd w:val="clear" w:color="auto" w:fill="auto"/>
            <w:vAlign w:val="center"/>
          </w:tcPr>
          <w:p w:rsidRPr="000F7AD5" w:rsidR="00245B45" w:rsidP="002D06B9" w:rsidRDefault="00245B45" w14:paraId="79313715" w14:textId="77777777">
            <w:pPr>
              <w:jc w:val="center"/>
              <w:rPr>
                <w:sz w:val="22"/>
                <w:szCs w:val="22"/>
              </w:rPr>
            </w:pPr>
          </w:p>
        </w:tc>
        <w:tc>
          <w:tcPr>
            <w:tcW w:w="9045" w:type="dxa"/>
            <w:shd w:val="clear" w:color="auto" w:fill="auto"/>
            <w:vAlign w:val="center"/>
          </w:tcPr>
          <w:p w:rsidRPr="00DA76FB" w:rsidR="00245B45" w:rsidP="00F77738" w:rsidRDefault="00245B45" w14:paraId="701B1537" w14:textId="4C9B5BC7">
            <w:pPr>
              <w:pStyle w:val="ListParagraph"/>
              <w:numPr>
                <w:ilvl w:val="0"/>
                <w:numId w:val="6"/>
              </w:numPr>
              <w:spacing w:before="20" w:after="80"/>
              <w:ind w:left="422" w:right="32" w:hanging="407"/>
              <w:rPr>
                <w:color w:val="000000"/>
                <w:sz w:val="22"/>
              </w:rPr>
            </w:pPr>
            <w:r w:rsidRPr="00DA76FB">
              <w:rPr>
                <w:color w:val="000000"/>
                <w:sz w:val="22"/>
              </w:rPr>
              <w:t>The Permittee shall submit to MassDEP NERO BAW Permit Chief</w:t>
            </w:r>
            <w:r w:rsidRPr="00EC475C" w:rsidR="00EC475C">
              <w:rPr>
                <w:rFonts w:eastAsia="Times New Roman" w:cs="Times New Roman"/>
                <w:color w:val="000000"/>
                <w:sz w:val="22"/>
                <w:szCs w:val="24"/>
              </w:rPr>
              <w:t xml:space="preserve"> </w:t>
            </w:r>
            <w:r w:rsidRPr="00EC475C" w:rsidR="00EC475C">
              <w:rPr>
                <w:color w:val="000000"/>
                <w:sz w:val="22"/>
              </w:rPr>
              <w:t>via MassDEP’s Compliance Reporting System (</w:t>
            </w:r>
            <w:hyperlink w:history="1" r:id="rId18">
              <w:r w:rsidRPr="00EC475C" w:rsidR="00EC475C">
                <w:rPr>
                  <w:rStyle w:val="Hyperlink"/>
                  <w:sz w:val="22"/>
                </w:rPr>
                <w:t>https://eeaonline.eea.state.ma.us/EEA/ComplianceReport/</w:t>
              </w:r>
            </w:hyperlink>
            <w:r w:rsidRPr="00DA76FB">
              <w:rPr>
                <w:color w:val="000000"/>
                <w:sz w:val="22"/>
              </w:rPr>
              <w:t xml:space="preserve"> an Emissions Compliance Testing Report for review and approval within sixty (60) days of the completion of the Emissions Compliance Testing.</w:t>
            </w:r>
          </w:p>
        </w:tc>
      </w:tr>
      <w:tr w:rsidRPr="000F7AD5" w:rsidR="00245B45" w:rsidTr="00DA76FB" w14:paraId="4915415D" w14:textId="77777777">
        <w:trPr>
          <w:cantSplit/>
          <w:trHeight w:val="1218"/>
          <w:jc w:val="center"/>
        </w:trPr>
        <w:tc>
          <w:tcPr>
            <w:tcW w:w="1265" w:type="dxa"/>
            <w:vMerge/>
            <w:shd w:val="clear" w:color="auto" w:fill="auto"/>
            <w:vAlign w:val="center"/>
          </w:tcPr>
          <w:p w:rsidRPr="000F7AD5" w:rsidR="00245B45" w:rsidP="002D06B9" w:rsidRDefault="00245B45" w14:paraId="08F1089D" w14:textId="2BB194F7">
            <w:pPr>
              <w:jc w:val="center"/>
              <w:rPr>
                <w:sz w:val="22"/>
                <w:szCs w:val="22"/>
              </w:rPr>
            </w:pPr>
          </w:p>
        </w:tc>
        <w:tc>
          <w:tcPr>
            <w:tcW w:w="9045" w:type="dxa"/>
            <w:vAlign w:val="center"/>
          </w:tcPr>
          <w:p w:rsidRPr="000F7AD5" w:rsidR="00245B45" w:rsidP="00F77738" w:rsidRDefault="00245B45" w14:paraId="21E42968" w14:textId="1B847B94">
            <w:pPr>
              <w:pStyle w:val="ListParagraph"/>
              <w:numPr>
                <w:ilvl w:val="0"/>
                <w:numId w:val="6"/>
              </w:numPr>
              <w:spacing w:before="20" w:after="80"/>
              <w:ind w:left="422" w:right="32" w:hanging="407"/>
              <w:rPr>
                <w:color w:val="000000"/>
                <w:sz w:val="22"/>
              </w:rPr>
            </w:pPr>
            <w:r w:rsidRPr="000F7AD5">
              <w:rPr>
                <w:color w:val="000000"/>
                <w:sz w:val="22"/>
              </w:rPr>
              <w:t xml:space="preserve">The Permittee shall submit to MassDEP </w:t>
            </w:r>
            <w:r w:rsidRPr="00E77022" w:rsidR="00E77022">
              <w:rPr>
                <w:color w:val="000000"/>
                <w:sz w:val="22"/>
              </w:rPr>
              <w:t>NERO BAW Permit Chief by email</w:t>
            </w:r>
            <w:r w:rsidRPr="007809BB" w:rsidR="007809BB">
              <w:rPr>
                <w:color w:val="000000"/>
                <w:sz w:val="22"/>
              </w:rPr>
              <w:t>:</w:t>
            </w:r>
            <w:r w:rsidRPr="00E77022" w:rsidR="00E77022">
              <w:rPr>
                <w:color w:val="000000"/>
                <w:sz w:val="22"/>
              </w:rPr>
              <w:t xml:space="preserve"> </w:t>
            </w:r>
            <w:hyperlink w:history="1" r:id="rId19">
              <w:r w:rsidRPr="0077256C" w:rsidR="006A3862">
                <w:rPr>
                  <w:rStyle w:val="Hyperlink"/>
                  <w:sz w:val="22"/>
                </w:rPr>
                <w:t>NERO.Air@mass.gov</w:t>
              </w:r>
            </w:hyperlink>
            <w:r w:rsidR="00E77022">
              <w:rPr>
                <w:color w:val="000000"/>
                <w:sz w:val="22"/>
              </w:rPr>
              <w:t xml:space="preserve"> </w:t>
            </w:r>
            <w:r w:rsidRPr="000F7AD5">
              <w:rPr>
                <w:color w:val="000000"/>
                <w:sz w:val="22"/>
              </w:rPr>
              <w:t>all information required by this Plan Approval over the signature of a “Responsible Official” as defined in 310 CMR 7.00 and shall include the Certification statement as provided in 310 CMR 7.01(2)(c).</w:t>
            </w:r>
          </w:p>
        </w:tc>
      </w:tr>
      <w:tr w:rsidRPr="000F7AD5" w:rsidR="00245B45" w:rsidTr="00DA76FB" w14:paraId="779F56B3" w14:textId="77777777">
        <w:trPr>
          <w:cantSplit/>
          <w:trHeight w:val="2298"/>
          <w:jc w:val="center"/>
        </w:trPr>
        <w:tc>
          <w:tcPr>
            <w:tcW w:w="1265" w:type="dxa"/>
            <w:vMerge/>
            <w:shd w:val="clear" w:color="auto" w:fill="auto"/>
            <w:vAlign w:val="center"/>
          </w:tcPr>
          <w:p w:rsidRPr="000F7AD5" w:rsidR="00245B45" w:rsidP="00BA506E" w:rsidRDefault="00245B45" w14:paraId="779F56B1" w14:textId="713909D8">
            <w:pPr>
              <w:jc w:val="center"/>
              <w:rPr>
                <w:sz w:val="22"/>
                <w:szCs w:val="22"/>
              </w:rPr>
            </w:pPr>
          </w:p>
        </w:tc>
        <w:tc>
          <w:tcPr>
            <w:tcW w:w="9045" w:type="dxa"/>
            <w:shd w:val="clear" w:color="auto" w:fill="auto"/>
            <w:vAlign w:val="center"/>
          </w:tcPr>
          <w:p w:rsidRPr="000F7AD5" w:rsidR="00245B45" w:rsidP="00F77738" w:rsidRDefault="00245B45" w14:paraId="779F56B2" w14:textId="254E1114">
            <w:pPr>
              <w:pStyle w:val="ListParagraph"/>
              <w:numPr>
                <w:ilvl w:val="0"/>
                <w:numId w:val="6"/>
              </w:numPr>
              <w:spacing w:before="20" w:after="80"/>
              <w:ind w:left="418" w:right="216"/>
              <w:rPr>
                <w:color w:val="000000"/>
                <w:sz w:val="22"/>
              </w:rPr>
            </w:pPr>
            <w:r w:rsidRPr="000F7AD5">
              <w:rPr>
                <w:color w:val="000000"/>
                <w:sz w:val="22"/>
              </w:rPr>
              <w:t>The Permittee shall notify the MassDEP NERO, BAW Permit Chief by email:</w:t>
            </w:r>
            <w:r w:rsidRPr="000F7AD5">
              <w:rPr>
                <w:sz w:val="22"/>
              </w:rPr>
              <w:t xml:space="preserve"> </w:t>
            </w:r>
            <w:hyperlink w:history="1" r:id="rId20">
              <w:r w:rsidRPr="006A3862" w:rsidR="006A3862">
                <w:rPr>
                  <w:rStyle w:val="Hyperlink"/>
                  <w:sz w:val="22"/>
                </w:rPr>
                <w:t>NERO.Air@mass.gov</w:t>
              </w:r>
            </w:hyperlink>
            <w:r w:rsidRPr="000F7AD5">
              <w:rPr>
                <w:color w:val="000000"/>
                <w:sz w:val="22"/>
              </w:rPr>
              <w:t>, as soon as possible, but no later than three (3) business day after discovery of an exceedance(s) of Table 2 requirements.  A written report shall be submitted via MassDEP’s Compliance Reporting System (</w:t>
            </w:r>
            <w:hyperlink w:history="1" r:id="rId21">
              <w:r w:rsidRPr="000F7AD5">
                <w:rPr>
                  <w:rStyle w:val="Hyperlink"/>
                  <w:sz w:val="22"/>
                </w:rPr>
                <w:t>https://eeaonline.eea.state.ma.us/EEA/ComplianceReport/</w:t>
              </w:r>
            </w:hyperlink>
            <w:r w:rsidRPr="000F7AD5">
              <w:rPr>
                <w:color w:val="000000"/>
                <w:sz w:val="22"/>
              </w:rPr>
              <w:t>) under Exceedance Report (EXCDNC),  within ten (10) business days thereafter and shall include: identification of exceedance(s), duration of exceedance(s), reason for the exceedance(s), corrective actions taken, and action plan to prevent future exceedance(s).</w:t>
            </w:r>
          </w:p>
        </w:tc>
      </w:tr>
      <w:tr w:rsidRPr="000F7AD5" w:rsidR="00245B45" w:rsidTr="00DA76FB" w14:paraId="779F56B7" w14:textId="77777777">
        <w:trPr>
          <w:cantSplit/>
          <w:trHeight w:val="983"/>
          <w:jc w:val="center"/>
        </w:trPr>
        <w:tc>
          <w:tcPr>
            <w:tcW w:w="1265" w:type="dxa"/>
            <w:vMerge/>
            <w:shd w:val="clear" w:color="auto" w:fill="auto"/>
            <w:vAlign w:val="center"/>
          </w:tcPr>
          <w:p w:rsidRPr="000F7AD5" w:rsidR="00245B45" w:rsidP="00BA506E" w:rsidRDefault="00245B45" w14:paraId="779F56B4" w14:textId="3689155A">
            <w:pPr>
              <w:jc w:val="center"/>
              <w:rPr>
                <w:sz w:val="22"/>
                <w:szCs w:val="22"/>
              </w:rPr>
            </w:pPr>
          </w:p>
        </w:tc>
        <w:tc>
          <w:tcPr>
            <w:tcW w:w="9045" w:type="dxa"/>
            <w:shd w:val="clear" w:color="auto" w:fill="auto"/>
            <w:vAlign w:val="center"/>
          </w:tcPr>
          <w:p w:rsidRPr="000F7AD5" w:rsidR="00245B45" w:rsidP="00F77738" w:rsidRDefault="00245B45" w14:paraId="779F56B6" w14:textId="35D9E75E">
            <w:pPr>
              <w:pStyle w:val="ListParagraph"/>
              <w:numPr>
                <w:ilvl w:val="0"/>
                <w:numId w:val="6"/>
              </w:numPr>
              <w:spacing w:before="20" w:after="80"/>
              <w:ind w:left="418" w:right="216"/>
              <w:rPr>
                <w:sz w:val="22"/>
              </w:rPr>
            </w:pPr>
            <w:r w:rsidRPr="000F7AD5">
              <w:rPr>
                <w:sz w:val="22"/>
              </w:rPr>
              <w:t xml:space="preserve">The Permittee shall report every three years to MassDEP, in accordance with 310 CMR 7.12, all information as required by the Source Registration/Emission Statement Form. </w:t>
            </w:r>
          </w:p>
        </w:tc>
      </w:tr>
      <w:tr w:rsidRPr="000F7AD5" w:rsidR="00106B3F" w:rsidTr="00553AD5" w14:paraId="6EC3394A" w14:textId="77777777">
        <w:trPr>
          <w:cantSplit/>
          <w:trHeight w:val="844"/>
          <w:jc w:val="center"/>
        </w:trPr>
        <w:tc>
          <w:tcPr>
            <w:tcW w:w="1265" w:type="dxa"/>
            <w:vMerge w:val="restart"/>
            <w:shd w:val="clear" w:color="auto" w:fill="auto"/>
            <w:vAlign w:val="center"/>
          </w:tcPr>
          <w:p w:rsidRPr="00DA76FB" w:rsidR="00106B3F" w:rsidP="0043051E" w:rsidRDefault="00106B3F" w14:paraId="0B3CCBDC" w14:textId="2027A745">
            <w:pPr>
              <w:jc w:val="center"/>
              <w:rPr>
                <w:sz w:val="22"/>
                <w:szCs w:val="22"/>
              </w:rPr>
            </w:pPr>
            <w:r>
              <w:rPr>
                <w:sz w:val="22"/>
                <w:szCs w:val="22"/>
              </w:rPr>
              <w:t>Facility-wide</w:t>
            </w:r>
          </w:p>
        </w:tc>
        <w:tc>
          <w:tcPr>
            <w:tcW w:w="9045" w:type="dxa"/>
            <w:shd w:val="clear" w:color="auto" w:fill="auto"/>
            <w:vAlign w:val="center"/>
          </w:tcPr>
          <w:p w:rsidRPr="00553AD5" w:rsidR="00106B3F" w:rsidP="000D69B3" w:rsidRDefault="00106B3F" w14:paraId="246AB89B" w14:textId="742138BA">
            <w:pPr>
              <w:pStyle w:val="ListParagraph"/>
              <w:numPr>
                <w:ilvl w:val="0"/>
                <w:numId w:val="6"/>
              </w:numPr>
              <w:spacing w:before="20" w:after="80"/>
              <w:ind w:right="216"/>
              <w:rPr>
                <w:sz w:val="22"/>
              </w:rPr>
            </w:pPr>
            <w:r w:rsidRPr="00553AD5">
              <w:rPr>
                <w:sz w:val="22"/>
              </w:rPr>
              <w:t>All notifications required and not specified by this Approval shall be made to:</w:t>
            </w:r>
          </w:p>
          <w:p w:rsidRPr="00553AD5" w:rsidR="00106B3F" w:rsidP="0052394C" w:rsidRDefault="00106B3F" w14:paraId="36657EEE" w14:textId="65903328">
            <w:pPr>
              <w:pStyle w:val="ListParagraph"/>
              <w:spacing w:before="20" w:after="80"/>
              <w:ind w:left="360" w:right="216"/>
              <w:rPr>
                <w:sz w:val="22"/>
              </w:rPr>
            </w:pPr>
            <w:r w:rsidRPr="00553AD5">
              <w:rPr>
                <w:sz w:val="22"/>
              </w:rPr>
              <w:t xml:space="preserve">MassDEP NERO, attention BAW Permit Chief by telephone: (978)-694-3200, email: </w:t>
            </w:r>
            <w:hyperlink w:history="1" r:id="rId22">
              <w:r w:rsidRPr="00A72B1A" w:rsidR="007809BB">
                <w:rPr>
                  <w:rStyle w:val="Hyperlink"/>
                </w:rPr>
                <w:t>NERO.Air@mass.gov</w:t>
              </w:r>
            </w:hyperlink>
            <w:r w:rsidRPr="00553AD5">
              <w:rPr>
                <w:sz w:val="22"/>
              </w:rPr>
              <w:t>.</w:t>
            </w:r>
          </w:p>
        </w:tc>
      </w:tr>
      <w:tr w:rsidRPr="000F7AD5" w:rsidR="00106B3F" w:rsidTr="00553AD5" w14:paraId="779F56BD" w14:textId="77777777">
        <w:trPr>
          <w:cantSplit/>
          <w:trHeight w:val="889"/>
          <w:jc w:val="center"/>
        </w:trPr>
        <w:tc>
          <w:tcPr>
            <w:tcW w:w="1265" w:type="dxa"/>
            <w:vMerge/>
            <w:shd w:val="clear" w:color="auto" w:fill="auto"/>
            <w:vAlign w:val="center"/>
          </w:tcPr>
          <w:p w:rsidRPr="00DA76FB" w:rsidR="00106B3F" w:rsidP="000E5364" w:rsidRDefault="00106B3F" w14:paraId="779F56BB" w14:textId="2ECF468E">
            <w:pPr>
              <w:jc w:val="center"/>
              <w:rPr>
                <w:sz w:val="22"/>
                <w:szCs w:val="22"/>
              </w:rPr>
            </w:pPr>
          </w:p>
        </w:tc>
        <w:tc>
          <w:tcPr>
            <w:tcW w:w="9045" w:type="dxa"/>
            <w:shd w:val="clear" w:color="auto" w:fill="auto"/>
            <w:vAlign w:val="center"/>
          </w:tcPr>
          <w:p w:rsidRPr="00553AD5" w:rsidR="00106B3F" w:rsidP="00F77738" w:rsidRDefault="00106B3F" w14:paraId="779F56BC" w14:textId="39064ED0">
            <w:pPr>
              <w:pStyle w:val="BodyTextIndent3"/>
              <w:numPr>
                <w:ilvl w:val="0"/>
                <w:numId w:val="6"/>
              </w:numPr>
              <w:spacing w:before="20" w:after="80" w:line="276" w:lineRule="auto"/>
              <w:ind w:left="418"/>
              <w:contextualSpacing/>
              <w:rPr>
                <w:rFonts w:eastAsiaTheme="minorHAnsi" w:cstheme="minorBidi"/>
                <w:sz w:val="22"/>
                <w:szCs w:val="22"/>
              </w:rPr>
            </w:pPr>
            <w:r w:rsidRPr="00553AD5">
              <w:rPr>
                <w:rFonts w:eastAsiaTheme="minorHAnsi" w:cstheme="minorBidi"/>
                <w:sz w:val="22"/>
                <w:szCs w:val="22"/>
              </w:rPr>
              <w:t>The Permittee shall provide a copy to MassDEP or USEPA of any record required to be maintained by this Plan Approval within 30 days from MassDEP’s or USEPA’s request.</w:t>
            </w:r>
          </w:p>
        </w:tc>
      </w:tr>
    </w:tbl>
    <w:p w:rsidRPr="000F7AD5" w:rsidR="00D44A6F" w:rsidP="001C6085" w:rsidRDefault="00D44A6F" w14:paraId="43516432" w14:textId="77777777">
      <w:pPr>
        <w:ind w:left="360"/>
        <w:rPr>
          <w:b/>
          <w:bCs/>
          <w:sz w:val="20"/>
        </w:rPr>
      </w:pPr>
    </w:p>
    <w:p w:rsidRPr="000F7AD5" w:rsidR="00732187" w:rsidP="003F46EF" w:rsidRDefault="001C6085" w14:paraId="779F56C2" w14:textId="2664A5A3">
      <w:pPr>
        <w:ind w:left="180"/>
        <w:rPr>
          <w:i/>
          <w:sz w:val="20"/>
        </w:rPr>
      </w:pPr>
      <w:r w:rsidRPr="000F7AD5">
        <w:rPr>
          <w:b/>
          <w:bCs/>
          <w:sz w:val="20"/>
        </w:rPr>
        <w:t>Table 5 Key:</w:t>
      </w:r>
      <w:r w:rsidRPr="000F7AD5" w:rsidR="00732187">
        <w:rPr>
          <w:i/>
          <w:sz w:val="20"/>
        </w:rPr>
        <w:t xml:space="preserve"> </w:t>
      </w:r>
    </w:p>
    <w:tbl>
      <w:tblPr>
        <w:tblStyle w:val="TableGrid"/>
        <w:tblW w:w="58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50"/>
      </w:tblGrid>
      <w:tr w:rsidRPr="000F7AD5" w:rsidR="00B77EA7" w:rsidTr="00EF2D7C" w14:paraId="779F56C9" w14:textId="77777777">
        <w:trPr>
          <w:cantSplit/>
          <w:trHeight w:val="303"/>
        </w:trPr>
        <w:tc>
          <w:tcPr>
            <w:tcW w:w="5850" w:type="dxa"/>
          </w:tcPr>
          <w:p w:rsidRPr="000F7AD5" w:rsidR="00B77EA7" w:rsidP="0077423D" w:rsidRDefault="00B77EA7" w14:paraId="779F56C7" w14:textId="7277177A">
            <w:pPr>
              <w:tabs>
                <w:tab w:val="left" w:pos="-720"/>
                <w:tab w:val="left" w:pos="69"/>
              </w:tabs>
              <w:suppressAutoHyphens/>
              <w:ind w:left="90" w:right="72" w:hanging="21"/>
              <w:rPr>
                <w:bCs/>
                <w:spacing w:val="-2"/>
                <w:sz w:val="20"/>
              </w:rPr>
            </w:pPr>
          </w:p>
        </w:tc>
      </w:tr>
      <w:tr w:rsidRPr="000F7AD5" w:rsidR="00B77EA7" w:rsidTr="00EF2D7C" w14:paraId="779F56CC" w14:textId="77777777">
        <w:trPr>
          <w:cantSplit/>
          <w:trHeight w:val="303"/>
        </w:trPr>
        <w:tc>
          <w:tcPr>
            <w:tcW w:w="5850" w:type="dxa"/>
          </w:tcPr>
          <w:p w:rsidR="00B77EA7" w:rsidP="0077423D" w:rsidRDefault="00B77EA7" w14:paraId="74A227B2" w14:textId="51E8922A">
            <w:pPr>
              <w:tabs>
                <w:tab w:val="left" w:pos="-720"/>
                <w:tab w:val="left" w:pos="69"/>
              </w:tabs>
              <w:suppressAutoHyphens/>
              <w:ind w:left="90" w:right="72" w:hanging="21"/>
              <w:rPr>
                <w:bCs/>
                <w:spacing w:val="-2"/>
                <w:sz w:val="20"/>
              </w:rPr>
            </w:pPr>
            <w:r w:rsidRPr="00B77EA7">
              <w:rPr>
                <w:bCs/>
                <w:spacing w:val="-2"/>
                <w:sz w:val="20"/>
              </w:rPr>
              <w:t>EU = Emission Unit</w:t>
            </w:r>
          </w:p>
          <w:p w:rsidRPr="000F7AD5" w:rsidR="00B77EA7" w:rsidP="0077423D" w:rsidRDefault="00B77EA7" w14:paraId="400E92A5" w14:textId="2757F6C2">
            <w:pPr>
              <w:tabs>
                <w:tab w:val="left" w:pos="-720"/>
                <w:tab w:val="left" w:pos="69"/>
              </w:tabs>
              <w:suppressAutoHyphens/>
              <w:ind w:left="90" w:right="72" w:hanging="21"/>
              <w:rPr>
                <w:bCs/>
                <w:spacing w:val="-2"/>
                <w:sz w:val="20"/>
              </w:rPr>
            </w:pPr>
            <w:r w:rsidRPr="000F7AD5">
              <w:rPr>
                <w:bCs/>
                <w:spacing w:val="-2"/>
                <w:sz w:val="20"/>
              </w:rPr>
              <w:t>MassDEP = Massachusetts Department of Environmental Protection</w:t>
            </w:r>
          </w:p>
          <w:p w:rsidRPr="000F7AD5" w:rsidR="00B77EA7" w:rsidP="0077423D" w:rsidRDefault="00B77EA7" w14:paraId="23C86A77" w14:textId="06010DBB">
            <w:pPr>
              <w:tabs>
                <w:tab w:val="left" w:pos="-720"/>
                <w:tab w:val="left" w:pos="69"/>
              </w:tabs>
              <w:suppressAutoHyphens/>
              <w:ind w:left="90" w:right="72" w:hanging="21"/>
              <w:rPr>
                <w:bCs/>
                <w:spacing w:val="-2"/>
                <w:sz w:val="20"/>
              </w:rPr>
            </w:pPr>
            <w:r w:rsidRPr="000F7AD5">
              <w:rPr>
                <w:bCs/>
                <w:spacing w:val="-2"/>
                <w:sz w:val="20"/>
              </w:rPr>
              <w:t xml:space="preserve">NERO = Northeast Regional Office </w:t>
            </w:r>
          </w:p>
          <w:p w:rsidRPr="000F7AD5" w:rsidR="00B77EA7" w:rsidP="0077423D" w:rsidRDefault="00B77EA7" w14:paraId="779F56CA" w14:textId="33622268">
            <w:pPr>
              <w:tabs>
                <w:tab w:val="left" w:pos="-720"/>
                <w:tab w:val="left" w:pos="69"/>
              </w:tabs>
              <w:suppressAutoHyphens/>
              <w:ind w:left="90" w:right="72" w:hanging="21"/>
              <w:rPr>
                <w:bCs/>
                <w:spacing w:val="-2"/>
                <w:sz w:val="20"/>
              </w:rPr>
            </w:pPr>
            <w:r w:rsidRPr="000F7AD5">
              <w:rPr>
                <w:sz w:val="20"/>
                <w:szCs w:val="20"/>
              </w:rPr>
              <w:t>SOMP = Standard Operating and Maintenance Procedure</w:t>
            </w:r>
          </w:p>
        </w:tc>
      </w:tr>
      <w:tr w:rsidRPr="000F7AD5" w:rsidR="00B77EA7" w:rsidTr="00EF2D7C" w14:paraId="0C6CDD2A" w14:textId="77777777">
        <w:trPr>
          <w:cantSplit/>
          <w:trHeight w:val="303"/>
        </w:trPr>
        <w:tc>
          <w:tcPr>
            <w:tcW w:w="5850" w:type="dxa"/>
          </w:tcPr>
          <w:p w:rsidRPr="000F7AD5" w:rsidR="00B77EA7" w:rsidP="00B77EA7" w:rsidRDefault="00B77EA7" w14:paraId="5EE368E1" w14:textId="77777777">
            <w:pPr>
              <w:tabs>
                <w:tab w:val="left" w:pos="-720"/>
                <w:tab w:val="left" w:pos="72"/>
              </w:tabs>
              <w:suppressAutoHyphens/>
              <w:ind w:left="72" w:right="90"/>
              <w:rPr>
                <w:sz w:val="20"/>
                <w:szCs w:val="20"/>
              </w:rPr>
            </w:pPr>
            <w:r w:rsidRPr="000F7AD5">
              <w:rPr>
                <w:sz w:val="20"/>
                <w:szCs w:val="20"/>
              </w:rPr>
              <w:t>USEPA = United States Environmental Protection Agency</w:t>
            </w:r>
          </w:p>
          <w:p w:rsidRPr="000F7AD5" w:rsidR="00B77EA7" w:rsidP="00B77EA7" w:rsidRDefault="00B77EA7" w14:paraId="766D0B57" w14:textId="77777777">
            <w:pPr>
              <w:tabs>
                <w:tab w:val="left" w:pos="-720"/>
                <w:tab w:val="left" w:pos="72"/>
              </w:tabs>
              <w:suppressAutoHyphens/>
              <w:ind w:left="72" w:right="90"/>
              <w:rPr>
                <w:sz w:val="20"/>
                <w:szCs w:val="20"/>
              </w:rPr>
            </w:pPr>
            <w:r w:rsidRPr="000F7AD5">
              <w:rPr>
                <w:sz w:val="20"/>
                <w:szCs w:val="20"/>
              </w:rPr>
              <w:t>BAW = Bureau of Air and Waste</w:t>
            </w:r>
          </w:p>
          <w:p w:rsidRPr="000F7AD5" w:rsidR="00B77EA7" w:rsidP="00D35E55" w:rsidRDefault="00B77EA7" w14:paraId="253EFEA3" w14:textId="6BDF7523">
            <w:pPr>
              <w:tabs>
                <w:tab w:val="left" w:pos="-720"/>
                <w:tab w:val="left" w:pos="69"/>
              </w:tabs>
              <w:suppressAutoHyphens/>
              <w:ind w:left="90" w:right="72" w:hanging="21"/>
              <w:rPr>
                <w:bCs/>
                <w:spacing w:val="-2"/>
                <w:sz w:val="20"/>
              </w:rPr>
            </w:pPr>
            <w:r w:rsidRPr="000F7AD5">
              <w:rPr>
                <w:bCs/>
                <w:spacing w:val="-2"/>
                <w:sz w:val="20"/>
                <w:szCs w:val="20"/>
              </w:rPr>
              <w:t>CMR = Code of Massachusetts Regulations</w:t>
            </w:r>
          </w:p>
          <w:p w:rsidRPr="000F7AD5" w:rsidR="00B77EA7" w:rsidP="00D35E55" w:rsidRDefault="00B77EA7" w14:paraId="090691A1" w14:textId="389773B7">
            <w:pPr>
              <w:tabs>
                <w:tab w:val="left" w:pos="-720"/>
                <w:tab w:val="left" w:pos="69"/>
              </w:tabs>
              <w:suppressAutoHyphens/>
              <w:ind w:left="90" w:right="72" w:hanging="21"/>
              <w:rPr>
                <w:bCs/>
                <w:spacing w:val="-2"/>
                <w:sz w:val="20"/>
              </w:rPr>
            </w:pPr>
          </w:p>
        </w:tc>
      </w:tr>
    </w:tbl>
    <w:p w:rsidRPr="000F7AD5" w:rsidR="00B9676C" w:rsidP="00B04B3D" w:rsidRDefault="00B9676C" w14:paraId="3ACF685F" w14:textId="77777777">
      <w:pPr>
        <w:pStyle w:val="ListParagraph"/>
        <w:rPr>
          <w:b/>
          <w:sz w:val="28"/>
          <w:szCs w:val="28"/>
          <w:u w:val="single"/>
        </w:rPr>
      </w:pPr>
    </w:p>
    <w:p w:rsidR="00A07E4C" w:rsidRDefault="00A07E4C" w14:paraId="2C0026B4" w14:textId="1C3D950D">
      <w:pPr>
        <w:rPr>
          <w:rFonts w:eastAsiaTheme="minorHAnsi" w:cstheme="minorBidi"/>
          <w:b/>
          <w:sz w:val="28"/>
          <w:szCs w:val="28"/>
          <w:u w:val="single"/>
        </w:rPr>
      </w:pPr>
    </w:p>
    <w:p w:rsidR="005A0E01" w:rsidRDefault="005A0E01" w14:paraId="0CCEDC13" w14:textId="77777777">
      <w:pPr>
        <w:rPr>
          <w:rFonts w:eastAsiaTheme="minorHAnsi" w:cstheme="minorBidi"/>
          <w:b/>
          <w:sz w:val="28"/>
          <w:szCs w:val="28"/>
          <w:u w:val="single"/>
        </w:rPr>
      </w:pPr>
      <w:r>
        <w:rPr>
          <w:b/>
          <w:sz w:val="28"/>
          <w:szCs w:val="28"/>
          <w:u w:val="single"/>
        </w:rPr>
        <w:br w:type="page"/>
      </w:r>
    </w:p>
    <w:p w:rsidRPr="000F7AD5" w:rsidR="002D2472" w:rsidP="00F77738" w:rsidRDefault="00924460" w14:paraId="779F56D8" w14:textId="7CC0D596">
      <w:pPr>
        <w:pStyle w:val="ListParagraph"/>
        <w:numPr>
          <w:ilvl w:val="0"/>
          <w:numId w:val="5"/>
        </w:numPr>
        <w:ind w:hanging="720"/>
        <w:rPr>
          <w:b/>
          <w:sz w:val="28"/>
          <w:szCs w:val="28"/>
          <w:u w:val="single"/>
        </w:rPr>
      </w:pPr>
      <w:r w:rsidRPr="000F7AD5">
        <w:rPr>
          <w:b/>
          <w:sz w:val="28"/>
          <w:szCs w:val="28"/>
          <w:u w:val="single"/>
        </w:rPr>
        <w:t>SPECIAL TERMS AND CONDITIONS</w:t>
      </w:r>
    </w:p>
    <w:p w:rsidRPr="000F7AD5" w:rsidR="002D2472" w:rsidP="002D2472" w:rsidRDefault="002D2472" w14:paraId="779F56D9" w14:textId="77777777"/>
    <w:p w:rsidRPr="000F7AD5" w:rsidR="006332B0" w:rsidP="00222314" w:rsidRDefault="00CE25E6" w14:paraId="104E6A31" w14:textId="5FD7AB53">
      <w:pPr>
        <w:pStyle w:val="ListParagraph"/>
        <w:numPr>
          <w:ilvl w:val="0"/>
          <w:numId w:val="1"/>
        </w:numPr>
      </w:pPr>
      <w:r w:rsidRPr="000F7AD5">
        <w:t xml:space="preserve">The Permittee </w:t>
      </w:r>
      <w:r w:rsidRPr="000F7AD5" w:rsidR="004B534B">
        <w:t xml:space="preserve">is subject to, and shall comply with, </w:t>
      </w:r>
      <w:r w:rsidRPr="000F7AD5">
        <w:t>the Special Terms and Conditions as contained in Table 6 below:</w:t>
      </w:r>
    </w:p>
    <w:p w:rsidRPr="000F7AD5" w:rsidR="00647B7D" w:rsidP="00647B7D" w:rsidRDefault="00647B7D" w14:paraId="15B63098" w14:textId="77777777">
      <w:pPr>
        <w:pStyle w:val="ListParagraph"/>
        <w:ind w:left="360"/>
      </w:pPr>
    </w:p>
    <w:p w:rsidRPr="000F7AD5" w:rsidR="00647B7D" w:rsidP="00647B7D" w:rsidRDefault="00647B7D" w14:paraId="6BE1C130" w14:textId="5C591857">
      <w:pPr>
        <w:pStyle w:val="ListParagraph"/>
        <w:ind w:left="360"/>
        <w:jc w:val="center"/>
        <w:rPr>
          <w:b/>
          <w:bCs/>
          <w:sz w:val="28"/>
          <w:szCs w:val="28"/>
        </w:rPr>
      </w:pPr>
      <w:r w:rsidRPr="000F7AD5">
        <w:rPr>
          <w:b/>
          <w:bCs/>
          <w:sz w:val="28"/>
          <w:szCs w:val="28"/>
        </w:rPr>
        <w:t>Table 6</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00" w:firstRow="0" w:lastRow="0" w:firstColumn="0" w:lastColumn="0" w:noHBand="0" w:noVBand="0"/>
      </w:tblPr>
      <w:tblGrid>
        <w:gridCol w:w="1345"/>
        <w:gridCol w:w="8735"/>
      </w:tblGrid>
      <w:tr w:rsidRPr="004F53D2" w:rsidR="004F53D2" w:rsidTr="00A07E4C" w14:paraId="05066346" w14:textId="77777777">
        <w:trPr>
          <w:trHeight w:val="432"/>
          <w:tblHeader/>
          <w:jc w:val="center"/>
        </w:trPr>
        <w:tc>
          <w:tcPr>
            <w:tcW w:w="1345" w:type="dxa"/>
            <w:shd w:val="clear" w:color="auto" w:fill="BFBFBF" w:themeFill="background1" w:themeFillShade="BF"/>
            <w:vAlign w:val="center"/>
          </w:tcPr>
          <w:p w:rsidRPr="004F53D2" w:rsidR="004F53D2" w:rsidP="005B3197" w:rsidRDefault="004F53D2" w14:paraId="492D4BED" w14:textId="36F35035">
            <w:pPr>
              <w:jc w:val="center"/>
              <w:rPr>
                <w:b/>
              </w:rPr>
            </w:pPr>
            <w:r w:rsidRPr="004F53D2">
              <w:rPr>
                <w:b/>
              </w:rPr>
              <w:t>EU</w:t>
            </w:r>
          </w:p>
        </w:tc>
        <w:tc>
          <w:tcPr>
            <w:tcW w:w="8735" w:type="dxa"/>
            <w:shd w:val="clear" w:color="auto" w:fill="BFBFBF" w:themeFill="background1" w:themeFillShade="BF"/>
            <w:vAlign w:val="center"/>
          </w:tcPr>
          <w:p w:rsidRPr="004F53D2" w:rsidR="004F53D2" w:rsidP="005B3197" w:rsidRDefault="004F53D2" w14:paraId="69C6A720" w14:textId="77777777">
            <w:pPr>
              <w:jc w:val="center"/>
              <w:rPr>
                <w:b/>
              </w:rPr>
            </w:pPr>
            <w:r w:rsidRPr="004F53D2">
              <w:rPr>
                <w:b/>
              </w:rPr>
              <w:t>SPECIAL TERMS AND CONDITIONS</w:t>
            </w:r>
          </w:p>
        </w:tc>
      </w:tr>
      <w:tr w:rsidRPr="004F53D2" w:rsidR="004F53D2" w:rsidTr="006A4576" w14:paraId="76FACACD" w14:textId="77777777">
        <w:trPr>
          <w:cantSplit/>
          <w:trHeight w:val="20"/>
          <w:jc w:val="center"/>
        </w:trPr>
        <w:tc>
          <w:tcPr>
            <w:tcW w:w="1345" w:type="dxa"/>
            <w:vMerge w:val="restart"/>
            <w:vAlign w:val="center"/>
          </w:tcPr>
          <w:p w:rsidRPr="004F53D2" w:rsidR="004F53D2" w:rsidP="006A4576" w:rsidRDefault="004F53D2" w14:paraId="495728AB" w14:textId="408AE6FB">
            <w:pPr>
              <w:jc w:val="center"/>
            </w:pPr>
            <w:r w:rsidRPr="004F53D2">
              <w:t>EU12</w:t>
            </w:r>
          </w:p>
        </w:tc>
        <w:tc>
          <w:tcPr>
            <w:tcW w:w="8735" w:type="dxa"/>
            <w:vAlign w:val="center"/>
          </w:tcPr>
          <w:p w:rsidRPr="004F53D2" w:rsidR="004F53D2" w:rsidP="00B145CC" w:rsidRDefault="004F53D2" w14:paraId="2FC01538" w14:textId="77E22068">
            <w:pPr>
              <w:pStyle w:val="ListParagraph"/>
              <w:numPr>
                <w:ilvl w:val="0"/>
                <w:numId w:val="15"/>
              </w:numPr>
              <w:spacing w:before="20" w:after="80"/>
              <w:ind w:right="216"/>
              <w:rPr>
                <w:sz w:val="22"/>
              </w:rPr>
            </w:pPr>
            <w:r w:rsidRPr="004F53D2">
              <w:rPr>
                <w:sz w:val="22"/>
              </w:rPr>
              <w:t>Tank truck hatches in the Tank Farm</w:t>
            </w:r>
            <w:r w:rsidRPr="00553AD5">
              <w:rPr>
                <w:sz w:val="22"/>
              </w:rPr>
              <w:t xml:space="preserve"> </w:t>
            </w:r>
            <w:r w:rsidRPr="00553AD5" w:rsidR="00B468CB">
              <w:rPr>
                <w:sz w:val="22"/>
              </w:rPr>
              <w:t>shall</w:t>
            </w:r>
            <w:r w:rsidRPr="00B468CB" w:rsidR="00B468CB">
              <w:rPr>
                <w:sz w:val="22"/>
              </w:rPr>
              <w:t xml:space="preserve"> </w:t>
            </w:r>
            <w:r w:rsidRPr="004F53D2">
              <w:rPr>
                <w:sz w:val="22"/>
              </w:rPr>
              <w:t xml:space="preserve">be closed at all times except during loading or unloading. </w:t>
            </w:r>
          </w:p>
        </w:tc>
      </w:tr>
      <w:tr w:rsidRPr="004F53D2" w:rsidR="004F53D2" w:rsidTr="00A07E4C" w14:paraId="4E1DD81B" w14:textId="77777777">
        <w:trPr>
          <w:cantSplit/>
          <w:trHeight w:val="20"/>
          <w:jc w:val="center"/>
        </w:trPr>
        <w:tc>
          <w:tcPr>
            <w:tcW w:w="1345" w:type="dxa"/>
            <w:vMerge/>
          </w:tcPr>
          <w:p w:rsidRPr="004F53D2" w:rsidR="004F53D2" w:rsidP="004F53D2" w:rsidRDefault="004F53D2" w14:paraId="0E4302ED" w14:textId="77777777"/>
        </w:tc>
        <w:tc>
          <w:tcPr>
            <w:tcW w:w="8735" w:type="dxa"/>
            <w:vAlign w:val="center"/>
          </w:tcPr>
          <w:p w:rsidRPr="004F53D2" w:rsidR="004F53D2" w:rsidP="00B145CC" w:rsidRDefault="000E5063" w14:paraId="3BD3F9AB" w14:textId="3F7A1A23">
            <w:pPr>
              <w:pStyle w:val="ListParagraph"/>
              <w:numPr>
                <w:ilvl w:val="0"/>
                <w:numId w:val="15"/>
              </w:numPr>
              <w:spacing w:before="20" w:after="80"/>
              <w:ind w:right="216"/>
              <w:rPr>
                <w:sz w:val="22"/>
              </w:rPr>
            </w:pPr>
            <w:r>
              <w:rPr>
                <w:sz w:val="22"/>
              </w:rPr>
              <w:t>The Permittee shall c</w:t>
            </w:r>
            <w:r w:rsidRPr="004F53D2" w:rsidR="004F53D2">
              <w:rPr>
                <w:sz w:val="22"/>
              </w:rPr>
              <w:t xml:space="preserve">ontinue to use the comprehensive Tank Farm Leak Detection and Repair Program (TFLDRP) which includes propellant fugitive emission sources.  All components of the Tank Farm and outdoor piping </w:t>
            </w:r>
            <w:r w:rsidR="00304F60">
              <w:rPr>
                <w:sz w:val="22"/>
              </w:rPr>
              <w:t>shall</w:t>
            </w:r>
            <w:r w:rsidRPr="004F53D2" w:rsidR="004F53D2">
              <w:rPr>
                <w:sz w:val="22"/>
              </w:rPr>
              <w:t xml:space="preserve"> be inspected semi-annually. </w:t>
            </w:r>
          </w:p>
        </w:tc>
      </w:tr>
      <w:tr w:rsidRPr="004F53D2" w:rsidR="004F53D2" w:rsidTr="00A07E4C" w14:paraId="7608C810" w14:textId="77777777">
        <w:trPr>
          <w:cantSplit/>
          <w:trHeight w:val="20"/>
          <w:jc w:val="center"/>
        </w:trPr>
        <w:tc>
          <w:tcPr>
            <w:tcW w:w="1345" w:type="dxa"/>
            <w:vMerge/>
          </w:tcPr>
          <w:p w:rsidRPr="004F53D2" w:rsidR="004F53D2" w:rsidP="004F53D2" w:rsidRDefault="004F53D2" w14:paraId="69F86C7B" w14:textId="77777777"/>
        </w:tc>
        <w:tc>
          <w:tcPr>
            <w:tcW w:w="8735" w:type="dxa"/>
            <w:vAlign w:val="center"/>
          </w:tcPr>
          <w:p w:rsidRPr="009C078F" w:rsidR="004F53D2" w:rsidP="009C078F" w:rsidRDefault="00304F60" w14:paraId="4E49888F" w14:textId="6663C020">
            <w:pPr>
              <w:pStyle w:val="ListParagraph"/>
              <w:numPr>
                <w:ilvl w:val="0"/>
                <w:numId w:val="15"/>
              </w:numPr>
              <w:spacing w:before="20" w:after="80"/>
              <w:ind w:right="216"/>
              <w:rPr>
                <w:sz w:val="22"/>
              </w:rPr>
            </w:pPr>
            <w:r>
              <w:rPr>
                <w:sz w:val="22"/>
              </w:rPr>
              <w:t>The Permittee shall t</w:t>
            </w:r>
            <w:r w:rsidRPr="004F53D2" w:rsidR="004F53D2">
              <w:rPr>
                <w:sz w:val="22"/>
              </w:rPr>
              <w:t xml:space="preserve">rain new Tank Farm operators using the Propellant Tank Farm Emission Minimization Program within the first week of a new Tank Farm operator’s hiring/transfer, whenever a new person is assigned to the Tank Farm for a period of longer than one month. </w:t>
            </w:r>
          </w:p>
        </w:tc>
      </w:tr>
      <w:tr w:rsidRPr="004F53D2" w:rsidR="005000AD" w:rsidTr="00787B5D" w14:paraId="58F69882" w14:textId="77777777">
        <w:trPr>
          <w:cantSplit/>
          <w:trHeight w:val="195"/>
          <w:jc w:val="center"/>
        </w:trPr>
        <w:tc>
          <w:tcPr>
            <w:tcW w:w="1345" w:type="dxa"/>
            <w:vMerge w:val="restart"/>
            <w:shd w:val="clear" w:color="auto" w:fill="auto"/>
            <w:vAlign w:val="center"/>
          </w:tcPr>
          <w:p w:rsidRPr="00787B5D" w:rsidR="005000AD" w:rsidP="0078398F" w:rsidRDefault="005000AD" w14:paraId="53B514D0" w14:textId="0DFFCB71">
            <w:pPr>
              <w:jc w:val="center"/>
            </w:pPr>
            <w:r w:rsidRPr="00787B5D">
              <w:t>EU25</w:t>
            </w:r>
          </w:p>
        </w:tc>
        <w:tc>
          <w:tcPr>
            <w:tcW w:w="8735" w:type="dxa"/>
            <w:shd w:val="clear" w:color="auto" w:fill="auto"/>
            <w:vAlign w:val="center"/>
          </w:tcPr>
          <w:p w:rsidRPr="00787B5D" w:rsidR="005000AD" w:rsidP="009C078F" w:rsidRDefault="005000AD" w14:paraId="64EC5144" w14:textId="4D172328">
            <w:pPr>
              <w:pStyle w:val="ListParagraph"/>
              <w:numPr>
                <w:ilvl w:val="0"/>
                <w:numId w:val="15"/>
              </w:numPr>
              <w:spacing w:before="20" w:after="80"/>
              <w:ind w:right="216"/>
              <w:rPr>
                <w:sz w:val="22"/>
              </w:rPr>
            </w:pPr>
            <w:r w:rsidRPr="00787B5D">
              <w:rPr>
                <w:sz w:val="22"/>
              </w:rPr>
              <w:t>The Permittee shall continue to use the seal-less booster pumps.</w:t>
            </w:r>
          </w:p>
        </w:tc>
      </w:tr>
      <w:tr w:rsidRPr="004F53D2" w:rsidR="005000AD" w:rsidTr="00787B5D" w14:paraId="359E0A51" w14:textId="77777777">
        <w:trPr>
          <w:cantSplit/>
          <w:trHeight w:val="195"/>
          <w:jc w:val="center"/>
        </w:trPr>
        <w:tc>
          <w:tcPr>
            <w:tcW w:w="1345" w:type="dxa"/>
            <w:vMerge/>
            <w:shd w:val="clear" w:color="auto" w:fill="auto"/>
          </w:tcPr>
          <w:p w:rsidRPr="00787B5D" w:rsidR="005000AD" w:rsidP="004F53D2" w:rsidRDefault="005000AD" w14:paraId="505AC887" w14:textId="77777777"/>
        </w:tc>
        <w:tc>
          <w:tcPr>
            <w:tcW w:w="8735" w:type="dxa"/>
            <w:shd w:val="clear" w:color="auto" w:fill="auto"/>
            <w:vAlign w:val="center"/>
          </w:tcPr>
          <w:p w:rsidRPr="00787B5D" w:rsidR="005000AD" w:rsidP="009C078F" w:rsidRDefault="005000AD" w14:paraId="45CBC6FF" w14:textId="15EA0C60">
            <w:pPr>
              <w:pStyle w:val="ListParagraph"/>
              <w:numPr>
                <w:ilvl w:val="0"/>
                <w:numId w:val="15"/>
              </w:numPr>
              <w:spacing w:before="20" w:after="80"/>
              <w:ind w:right="216"/>
              <w:rPr>
                <w:sz w:val="22"/>
              </w:rPr>
            </w:pPr>
            <w:r w:rsidRPr="00787B5D">
              <w:rPr>
                <w:sz w:val="22"/>
              </w:rPr>
              <w:t>The Permittee shall conduct semi-annual Gas Room Operator (GRO) Training (formerly known as Hydrocarbon Safety Training) for gas room mechanics.</w:t>
            </w:r>
          </w:p>
        </w:tc>
      </w:tr>
      <w:tr w:rsidRPr="004F53D2" w:rsidR="005000AD" w:rsidTr="00787B5D" w14:paraId="10E9BCE1" w14:textId="77777777">
        <w:trPr>
          <w:cantSplit/>
          <w:trHeight w:val="195"/>
          <w:jc w:val="center"/>
        </w:trPr>
        <w:tc>
          <w:tcPr>
            <w:tcW w:w="1345" w:type="dxa"/>
            <w:vMerge/>
            <w:shd w:val="clear" w:color="auto" w:fill="auto"/>
          </w:tcPr>
          <w:p w:rsidRPr="00787B5D" w:rsidR="005000AD" w:rsidP="004F53D2" w:rsidRDefault="005000AD" w14:paraId="566DEAE4" w14:textId="77777777"/>
        </w:tc>
        <w:tc>
          <w:tcPr>
            <w:tcW w:w="8735" w:type="dxa"/>
            <w:shd w:val="clear" w:color="auto" w:fill="auto"/>
            <w:vAlign w:val="center"/>
          </w:tcPr>
          <w:p w:rsidRPr="00787B5D" w:rsidR="005000AD" w:rsidP="009C078F" w:rsidRDefault="005000AD" w14:paraId="51D91AE6" w14:textId="0BAC9811">
            <w:pPr>
              <w:pStyle w:val="ListParagraph"/>
              <w:numPr>
                <w:ilvl w:val="0"/>
                <w:numId w:val="15"/>
              </w:numPr>
              <w:spacing w:before="20" w:after="80"/>
              <w:ind w:right="216"/>
              <w:rPr>
                <w:sz w:val="22"/>
              </w:rPr>
            </w:pPr>
            <w:r w:rsidRPr="00787B5D">
              <w:rPr>
                <w:sz w:val="22"/>
              </w:rPr>
              <w:t>The Permittee shall continue its present gas room safety venting practice of venting only for reasons of maintenance, emergencies and/or long-term shutdowns (i.e., anticipated 7 days out of use).</w:t>
            </w:r>
          </w:p>
        </w:tc>
      </w:tr>
      <w:tr w:rsidRPr="004F53D2" w:rsidR="00B50968" w:rsidTr="006A4576" w14:paraId="143F2D9D" w14:textId="77777777">
        <w:trPr>
          <w:cantSplit/>
          <w:trHeight w:val="20"/>
          <w:jc w:val="center"/>
        </w:trPr>
        <w:tc>
          <w:tcPr>
            <w:tcW w:w="1345" w:type="dxa"/>
            <w:vMerge w:val="restart"/>
            <w:vAlign w:val="center"/>
          </w:tcPr>
          <w:p w:rsidRPr="004F53D2" w:rsidR="00B50968" w:rsidP="006A4576" w:rsidRDefault="00B50968" w14:paraId="44AAE90E" w14:textId="3F104A00">
            <w:pPr>
              <w:jc w:val="center"/>
            </w:pPr>
            <w:r w:rsidRPr="004F53D2">
              <w:t>Facility-wide</w:t>
            </w:r>
          </w:p>
        </w:tc>
        <w:tc>
          <w:tcPr>
            <w:tcW w:w="8735" w:type="dxa"/>
            <w:vAlign w:val="center"/>
          </w:tcPr>
          <w:p w:rsidRPr="004F53D2" w:rsidR="00B50968" w:rsidP="005000AD" w:rsidRDefault="00B50968" w14:paraId="6BBB8737" w14:textId="3A585558">
            <w:pPr>
              <w:pStyle w:val="ListParagraph"/>
              <w:numPr>
                <w:ilvl w:val="0"/>
                <w:numId w:val="15"/>
              </w:numPr>
              <w:spacing w:before="20" w:after="80"/>
              <w:ind w:right="216"/>
              <w:rPr>
                <w:sz w:val="22"/>
              </w:rPr>
            </w:pPr>
            <w:r w:rsidRPr="000E12DA">
              <w:rPr>
                <w:sz w:val="22"/>
              </w:rPr>
              <w:t>The Permittee shall become subject to the VOC Reasonably Available Control Technology (RACT) requirements for Industrial Solvent Cleaning, should actual VOC emissions from these operations exceed 3.0 tons per any consecutive twelve-month period.  Should this occur, the Permittee shall ensure that it complies with 310 CMR 7.18(31).</w:t>
            </w:r>
          </w:p>
        </w:tc>
      </w:tr>
      <w:tr w:rsidRPr="004F53D2" w:rsidR="00B50968" w:rsidTr="006A4576" w14:paraId="2886085C" w14:textId="77777777">
        <w:trPr>
          <w:cantSplit/>
          <w:trHeight w:val="20"/>
          <w:jc w:val="center"/>
        </w:trPr>
        <w:tc>
          <w:tcPr>
            <w:tcW w:w="1345" w:type="dxa"/>
            <w:vMerge/>
            <w:vAlign w:val="center"/>
          </w:tcPr>
          <w:p w:rsidRPr="004F53D2" w:rsidR="00B50968" w:rsidP="00564F67" w:rsidRDefault="00B50968" w14:paraId="390B3015" w14:textId="13CB4AB7">
            <w:pPr>
              <w:jc w:val="center"/>
            </w:pPr>
          </w:p>
        </w:tc>
        <w:tc>
          <w:tcPr>
            <w:tcW w:w="8735" w:type="dxa"/>
            <w:vAlign w:val="center"/>
          </w:tcPr>
          <w:p w:rsidRPr="000E12DA" w:rsidR="00B50968" w:rsidP="005000AD" w:rsidRDefault="00B50968" w14:paraId="7D40583D" w14:textId="439E7C25">
            <w:pPr>
              <w:pStyle w:val="ListParagraph"/>
              <w:numPr>
                <w:ilvl w:val="0"/>
                <w:numId w:val="15"/>
              </w:numPr>
              <w:spacing w:before="20" w:after="80"/>
              <w:ind w:right="216"/>
              <w:rPr>
                <w:sz w:val="22"/>
              </w:rPr>
            </w:pPr>
            <w:r>
              <w:rPr>
                <w:sz w:val="22"/>
              </w:rPr>
              <w:t xml:space="preserve">Any </w:t>
            </w:r>
            <w:r w:rsidRPr="00965125">
              <w:rPr>
                <w:sz w:val="22"/>
              </w:rPr>
              <w:t xml:space="preserve">Reciprocating Internal Combustion Engine </w:t>
            </w:r>
            <w:r>
              <w:rPr>
                <w:sz w:val="22"/>
              </w:rPr>
              <w:t>in the Facility may be</w:t>
            </w:r>
            <w:r w:rsidRPr="00965125">
              <w:rPr>
                <w:sz w:val="22"/>
              </w:rPr>
              <w:t xml:space="preserve"> subject to 40 CFR 60 Subpart IIII – Standards of Performance for Stationary Compression Ignition Internal Combustion Engines and 40 CFR 63 Subpart ZZZZ – National Emission Standards for Hazardous Air Pollutants for Stationary Reciprocating Internal Combustion Engines. Since MassDEP has not accepted delegation for Subparts IIII or ZZZZ for facilities such as this, the Permittee is advised to consult with EPA for additional information regarding applicable requirements that may apply to the Facility.</w:t>
            </w:r>
            <w:r>
              <w:rPr>
                <w:sz w:val="22"/>
              </w:rPr>
              <w:t xml:space="preserve"> </w:t>
            </w:r>
            <w:r w:rsidRPr="00965125">
              <w:rPr>
                <w:sz w:val="22"/>
              </w:rPr>
              <w:t>EPA’s address:</w:t>
            </w:r>
            <w:r>
              <w:rPr>
                <w:sz w:val="22"/>
              </w:rPr>
              <w:t xml:space="preserve"> </w:t>
            </w:r>
            <w:r w:rsidRPr="00965125">
              <w:rPr>
                <w:sz w:val="22"/>
              </w:rPr>
              <w:t>US EPA Region 1, 5 Post Office Square – Suite 100, Boston, MA 02109-3912.</w:t>
            </w:r>
          </w:p>
        </w:tc>
      </w:tr>
      <w:tr w:rsidRPr="004F53D2" w:rsidR="00B50968" w:rsidTr="006A4576" w14:paraId="5A0FE193" w14:textId="77777777">
        <w:trPr>
          <w:cantSplit/>
          <w:trHeight w:val="20"/>
          <w:jc w:val="center"/>
        </w:trPr>
        <w:tc>
          <w:tcPr>
            <w:tcW w:w="1345" w:type="dxa"/>
            <w:vMerge w:val="restart"/>
            <w:vAlign w:val="center"/>
          </w:tcPr>
          <w:p w:rsidRPr="004F53D2" w:rsidR="00B50968" w:rsidP="00564F67" w:rsidRDefault="00B50968" w14:paraId="612296EB" w14:textId="21DBE868">
            <w:pPr>
              <w:jc w:val="center"/>
            </w:pPr>
            <w:r w:rsidRPr="00B50968">
              <w:t>Facility-wide</w:t>
            </w:r>
          </w:p>
        </w:tc>
        <w:tc>
          <w:tcPr>
            <w:tcW w:w="8735" w:type="dxa"/>
            <w:vAlign w:val="center"/>
          </w:tcPr>
          <w:p w:rsidRPr="004F53D2" w:rsidR="00B50968" w:rsidP="005000AD" w:rsidRDefault="00B50968" w14:paraId="0704B13B" w14:textId="0377BFC9">
            <w:pPr>
              <w:pStyle w:val="ListParagraph"/>
              <w:numPr>
                <w:ilvl w:val="0"/>
                <w:numId w:val="15"/>
              </w:numPr>
              <w:spacing w:before="20" w:after="80"/>
              <w:ind w:right="216"/>
              <w:rPr>
                <w:sz w:val="22"/>
              </w:rPr>
            </w:pPr>
            <w:r w:rsidRPr="004F53D2">
              <w:rPr>
                <w:sz w:val="22"/>
              </w:rPr>
              <w:t>The Permittee</w:t>
            </w:r>
            <w:r>
              <w:rPr>
                <w:sz w:val="22"/>
              </w:rPr>
              <w:t xml:space="preserve"> shall</w:t>
            </w:r>
            <w:r w:rsidRPr="004F53D2">
              <w:rPr>
                <w:sz w:val="22"/>
              </w:rPr>
              <w:t xml:space="preserve"> continue to use TTV (Through the Valve) adapters for all of its current shave cream (non-gel) products.  For any new shave cream (non-gel) products, TTV adapters must be evaluated for technical feasibility, and used if technically feasible.</w:t>
            </w:r>
          </w:p>
        </w:tc>
      </w:tr>
      <w:tr w:rsidRPr="004F53D2" w:rsidR="00B50968" w:rsidTr="00564F67" w14:paraId="27CED999" w14:textId="77777777">
        <w:trPr>
          <w:cantSplit/>
          <w:trHeight w:val="20"/>
          <w:jc w:val="center"/>
        </w:trPr>
        <w:tc>
          <w:tcPr>
            <w:tcW w:w="1345" w:type="dxa"/>
            <w:vMerge/>
            <w:vAlign w:val="center"/>
          </w:tcPr>
          <w:p w:rsidRPr="004F53D2" w:rsidR="00B50968" w:rsidP="00564F67" w:rsidRDefault="00B50968" w14:paraId="2E4DA6A2" w14:textId="199010C8">
            <w:pPr>
              <w:jc w:val="center"/>
            </w:pPr>
          </w:p>
        </w:tc>
        <w:tc>
          <w:tcPr>
            <w:tcW w:w="8735" w:type="dxa"/>
            <w:vAlign w:val="center"/>
          </w:tcPr>
          <w:p w:rsidRPr="004F53D2" w:rsidR="00B50968" w:rsidP="005000AD" w:rsidRDefault="00B50968" w14:paraId="03A9E550" w14:textId="6551BC3B">
            <w:pPr>
              <w:pStyle w:val="ListParagraph"/>
              <w:numPr>
                <w:ilvl w:val="0"/>
                <w:numId w:val="15"/>
              </w:numPr>
              <w:spacing w:before="20" w:after="80"/>
              <w:ind w:right="216"/>
              <w:rPr>
                <w:sz w:val="22"/>
              </w:rPr>
            </w:pPr>
            <w:r w:rsidRPr="004F53D2">
              <w:rPr>
                <w:sz w:val="22"/>
              </w:rPr>
              <w:t xml:space="preserve">The Permittee must minimize the use of ethanol for non-production use (labs &amp; parts cleaning) and must continue to track its alcohol usage on a monthly basis.  These records will be kept in the RACT Compliance Files for at least five (5) years and be made available for MassDEP and EPA inspection. </w:t>
            </w:r>
          </w:p>
        </w:tc>
      </w:tr>
      <w:tr w:rsidRPr="004F53D2" w:rsidR="00B50968" w:rsidTr="00564F67" w14:paraId="049FC941" w14:textId="77777777">
        <w:trPr>
          <w:cantSplit/>
          <w:trHeight w:val="20"/>
          <w:jc w:val="center"/>
        </w:trPr>
        <w:tc>
          <w:tcPr>
            <w:tcW w:w="1345" w:type="dxa"/>
            <w:vMerge/>
            <w:vAlign w:val="center"/>
          </w:tcPr>
          <w:p w:rsidRPr="004F53D2" w:rsidR="00B50968" w:rsidP="00564F67" w:rsidRDefault="00B50968" w14:paraId="457E8A83" w14:textId="04F290CE">
            <w:pPr>
              <w:jc w:val="center"/>
            </w:pPr>
          </w:p>
        </w:tc>
        <w:tc>
          <w:tcPr>
            <w:tcW w:w="8735" w:type="dxa"/>
            <w:vAlign w:val="center"/>
          </w:tcPr>
          <w:p w:rsidRPr="008B00E3" w:rsidR="00B50968" w:rsidP="005000AD" w:rsidRDefault="00B50968" w14:paraId="3C903DCE" w14:textId="75DD3BE9">
            <w:pPr>
              <w:pStyle w:val="ListParagraph"/>
              <w:numPr>
                <w:ilvl w:val="0"/>
                <w:numId w:val="15"/>
              </w:numPr>
              <w:spacing w:before="20" w:after="80"/>
              <w:ind w:right="216"/>
              <w:rPr>
                <w:sz w:val="22"/>
              </w:rPr>
            </w:pPr>
            <w:r w:rsidRPr="004F53D2">
              <w:rPr>
                <w:sz w:val="22"/>
              </w:rPr>
              <w:t xml:space="preserve">The Permittee shall continue to utilize pollution prevention techniques, such as TTV filling, whenever feasible to minimize VOC losses. </w:t>
            </w:r>
          </w:p>
        </w:tc>
      </w:tr>
      <w:tr w:rsidRPr="004F53D2" w:rsidR="000954E8" w:rsidTr="000954E8" w14:paraId="43DF5B31" w14:textId="77777777">
        <w:trPr>
          <w:cantSplit/>
          <w:trHeight w:val="20"/>
          <w:jc w:val="center"/>
        </w:trPr>
        <w:tc>
          <w:tcPr>
            <w:tcW w:w="1345" w:type="dxa"/>
            <w:vMerge w:val="restart"/>
            <w:vAlign w:val="center"/>
          </w:tcPr>
          <w:p w:rsidRPr="004F53D2" w:rsidR="000954E8" w:rsidP="000954E8" w:rsidRDefault="000954E8" w14:paraId="106408F2" w14:textId="0495EEBF">
            <w:pPr>
              <w:jc w:val="center"/>
            </w:pPr>
            <w:r w:rsidRPr="004F53D2">
              <w:t>Facility-wide</w:t>
            </w:r>
          </w:p>
        </w:tc>
        <w:tc>
          <w:tcPr>
            <w:tcW w:w="8735" w:type="dxa"/>
            <w:vAlign w:val="center"/>
          </w:tcPr>
          <w:p w:rsidRPr="004F53D2" w:rsidR="000954E8" w:rsidP="005000AD" w:rsidRDefault="000954E8" w14:paraId="68B7D965" w14:textId="4E06E4FC">
            <w:pPr>
              <w:pStyle w:val="ListParagraph"/>
              <w:numPr>
                <w:ilvl w:val="0"/>
                <w:numId w:val="15"/>
              </w:numPr>
              <w:tabs>
                <w:tab w:val="left" w:pos="121"/>
              </w:tabs>
              <w:ind w:right="216"/>
              <w:rPr>
                <w:sz w:val="22"/>
              </w:rPr>
            </w:pPr>
            <w:r w:rsidRPr="004F53D2">
              <w:rPr>
                <w:sz w:val="22"/>
              </w:rPr>
              <w:t xml:space="preserve">Should a new type of propellant be chosen or a concentrate solvent substitute for ethanol be chosen other than those listed below, the Permittee </w:t>
            </w:r>
            <w:r>
              <w:rPr>
                <w:sz w:val="22"/>
              </w:rPr>
              <w:t>shall</w:t>
            </w:r>
            <w:r w:rsidRPr="004F53D2">
              <w:rPr>
                <w:sz w:val="22"/>
              </w:rPr>
              <w:t xml:space="preserve"> evaluate the effects of the change and notify the MassDEP and </w:t>
            </w:r>
            <w:r>
              <w:rPr>
                <w:sz w:val="22"/>
              </w:rPr>
              <w:t>US</w:t>
            </w:r>
            <w:r w:rsidRPr="004F53D2">
              <w:rPr>
                <w:sz w:val="22"/>
              </w:rPr>
              <w:t xml:space="preserve">EPA in writing of the substitution, the effect on emissions and other effects of the proposed change prior to making the change.  The Permittee shall maintain records on </w:t>
            </w:r>
            <w:r w:rsidRPr="00D16AE8">
              <w:rPr>
                <w:sz w:val="22"/>
              </w:rPr>
              <w:t xml:space="preserve">these reformulations changes that require MassDEP and USEPA notification and shall keep the records in its RACT Compliance </w:t>
            </w:r>
            <w:r>
              <w:rPr>
                <w:sz w:val="22"/>
              </w:rPr>
              <w:t xml:space="preserve">Files for </w:t>
            </w:r>
            <w:r w:rsidRPr="00D16AE8">
              <w:rPr>
                <w:sz w:val="22"/>
              </w:rPr>
              <w:t>at least five (5) years. Propellants and concentrates considered acceptable to substitute or use without notification include:</w:t>
            </w:r>
          </w:p>
          <w:p w:rsidRPr="004F53D2" w:rsidR="000954E8" w:rsidP="00A07E4C" w:rsidRDefault="000954E8" w14:paraId="701BDB58" w14:textId="77777777">
            <w:pPr>
              <w:pStyle w:val="ListParagraph"/>
              <w:tabs>
                <w:tab w:val="left" w:pos="121"/>
              </w:tabs>
              <w:ind w:left="360" w:right="216"/>
              <w:rPr>
                <w:sz w:val="22"/>
              </w:rPr>
            </w:pPr>
          </w:p>
          <w:p w:rsidRPr="009A65B4" w:rsidR="000954E8" w:rsidP="00A07E4C" w:rsidRDefault="000954E8" w14:paraId="4FDDA868" w14:textId="50F33879">
            <w:pPr>
              <w:pStyle w:val="ListParagraph"/>
              <w:tabs>
                <w:tab w:val="left" w:pos="121"/>
              </w:tabs>
              <w:ind w:left="360" w:right="216"/>
              <w:rPr>
                <w:sz w:val="22"/>
                <w:u w:val="single"/>
              </w:rPr>
            </w:pPr>
            <w:r w:rsidRPr="004F53D2">
              <w:rPr>
                <w:sz w:val="22"/>
                <w:u w:val="single"/>
              </w:rPr>
              <w:t>Acceptable materials for normal production of aerosol-packaged products:</w:t>
            </w:r>
          </w:p>
          <w:p w:rsidR="000954E8" w:rsidP="00A07E4C" w:rsidRDefault="000954E8" w14:paraId="1BEC2E81" w14:textId="77777777">
            <w:pPr>
              <w:tabs>
                <w:tab w:val="left" w:pos="121"/>
              </w:tabs>
              <w:spacing w:line="276" w:lineRule="auto"/>
              <w:ind w:left="481" w:right="216" w:hanging="90"/>
              <w:rPr>
                <w:sz w:val="22"/>
              </w:rPr>
            </w:pPr>
          </w:p>
          <w:p w:rsidRPr="009364D0" w:rsidR="000954E8" w:rsidP="00A07E4C" w:rsidRDefault="000954E8" w14:paraId="5FEF95D4" w14:textId="49995F5C">
            <w:pPr>
              <w:tabs>
                <w:tab w:val="left" w:pos="121"/>
              </w:tabs>
              <w:spacing w:line="276" w:lineRule="auto"/>
              <w:ind w:left="481" w:right="216" w:hanging="90"/>
              <w:rPr>
                <w:sz w:val="22"/>
              </w:rPr>
            </w:pPr>
            <w:r w:rsidRPr="00617447">
              <w:rPr>
                <w:sz w:val="22"/>
              </w:rPr>
              <w:t>Acceptable propellants:</w:t>
            </w:r>
          </w:p>
          <w:p w:rsidRPr="004F53D2" w:rsidR="000954E8" w:rsidP="00A07E4C" w:rsidRDefault="000954E8" w14:paraId="0553C6C1" w14:textId="77777777">
            <w:pPr>
              <w:pStyle w:val="ListParagraph"/>
              <w:tabs>
                <w:tab w:val="left" w:pos="121"/>
              </w:tabs>
              <w:ind w:left="931" w:right="216" w:hanging="121"/>
              <w:rPr>
                <w:sz w:val="22"/>
              </w:rPr>
            </w:pPr>
            <w:r w:rsidRPr="004F53D2">
              <w:rPr>
                <w:sz w:val="22"/>
              </w:rPr>
              <w:t>a.</w:t>
            </w:r>
            <w:r w:rsidRPr="004F53D2">
              <w:rPr>
                <w:sz w:val="22"/>
              </w:rPr>
              <w:tab/>
              <w:t>propane</w:t>
            </w:r>
          </w:p>
          <w:p w:rsidRPr="004F53D2" w:rsidR="000954E8" w:rsidP="00A07E4C" w:rsidRDefault="000954E8" w14:paraId="79FC7A54" w14:textId="77777777">
            <w:pPr>
              <w:pStyle w:val="ListParagraph"/>
              <w:tabs>
                <w:tab w:val="left" w:pos="121"/>
              </w:tabs>
              <w:ind w:left="931" w:right="216" w:hanging="121"/>
              <w:rPr>
                <w:sz w:val="22"/>
              </w:rPr>
            </w:pPr>
            <w:r w:rsidRPr="004F53D2">
              <w:rPr>
                <w:sz w:val="22"/>
              </w:rPr>
              <w:t>b.</w:t>
            </w:r>
            <w:r w:rsidRPr="004F53D2">
              <w:rPr>
                <w:sz w:val="22"/>
              </w:rPr>
              <w:tab/>
              <w:t>normal butane</w:t>
            </w:r>
          </w:p>
          <w:p w:rsidRPr="004F53D2" w:rsidR="000954E8" w:rsidP="00A07E4C" w:rsidRDefault="000954E8" w14:paraId="65EDECC3" w14:textId="77777777">
            <w:pPr>
              <w:pStyle w:val="ListParagraph"/>
              <w:tabs>
                <w:tab w:val="left" w:pos="121"/>
              </w:tabs>
              <w:ind w:left="931" w:right="216" w:hanging="121"/>
              <w:rPr>
                <w:sz w:val="22"/>
              </w:rPr>
            </w:pPr>
            <w:r w:rsidRPr="004F53D2">
              <w:rPr>
                <w:sz w:val="22"/>
              </w:rPr>
              <w:t>c.</w:t>
            </w:r>
            <w:r w:rsidRPr="004F53D2">
              <w:rPr>
                <w:sz w:val="22"/>
              </w:rPr>
              <w:tab/>
              <w:t>pentane</w:t>
            </w:r>
          </w:p>
          <w:p w:rsidRPr="004F53D2" w:rsidR="000954E8" w:rsidP="00A07E4C" w:rsidRDefault="000954E8" w14:paraId="7E95534E" w14:textId="621DA9C3">
            <w:pPr>
              <w:pStyle w:val="ListParagraph"/>
              <w:tabs>
                <w:tab w:val="left" w:pos="121"/>
              </w:tabs>
              <w:ind w:left="931" w:right="216" w:hanging="121"/>
              <w:rPr>
                <w:sz w:val="22"/>
              </w:rPr>
            </w:pPr>
            <w:r w:rsidRPr="004F53D2">
              <w:rPr>
                <w:sz w:val="22"/>
              </w:rPr>
              <w:t>d.</w:t>
            </w:r>
            <w:r w:rsidRPr="004F53D2">
              <w:rPr>
                <w:sz w:val="22"/>
              </w:rPr>
              <w:tab/>
              <w:t>isopentane (as a propellant; isopentane is now used as a "blowing agent")</w:t>
            </w:r>
          </w:p>
          <w:p w:rsidRPr="004F53D2" w:rsidR="000954E8" w:rsidP="00A07E4C" w:rsidRDefault="000954E8" w14:paraId="41A9DC09" w14:textId="77777777">
            <w:pPr>
              <w:pStyle w:val="ListParagraph"/>
              <w:tabs>
                <w:tab w:val="left" w:pos="121"/>
              </w:tabs>
              <w:ind w:left="931" w:right="216" w:hanging="121"/>
              <w:rPr>
                <w:sz w:val="22"/>
              </w:rPr>
            </w:pPr>
            <w:r w:rsidRPr="004F53D2">
              <w:rPr>
                <w:sz w:val="22"/>
              </w:rPr>
              <w:t>e.</w:t>
            </w:r>
            <w:r w:rsidRPr="004F53D2">
              <w:rPr>
                <w:sz w:val="22"/>
              </w:rPr>
              <w:tab/>
              <w:t>dimethyl ether</w:t>
            </w:r>
          </w:p>
          <w:p w:rsidRPr="004F53D2" w:rsidR="000954E8" w:rsidP="00A07E4C" w:rsidRDefault="000954E8" w14:paraId="2C6B131F" w14:textId="77777777">
            <w:pPr>
              <w:pStyle w:val="ListParagraph"/>
              <w:tabs>
                <w:tab w:val="left" w:pos="121"/>
              </w:tabs>
              <w:ind w:left="931" w:right="216" w:hanging="121"/>
              <w:rPr>
                <w:sz w:val="22"/>
              </w:rPr>
            </w:pPr>
            <w:r w:rsidRPr="004F53D2">
              <w:rPr>
                <w:sz w:val="22"/>
              </w:rPr>
              <w:t>f.</w:t>
            </w:r>
            <w:r w:rsidRPr="004F53D2">
              <w:rPr>
                <w:sz w:val="22"/>
              </w:rPr>
              <w:tab/>
              <w:t>propellant HFC-152A</w:t>
            </w:r>
          </w:p>
          <w:p w:rsidRPr="004F53D2" w:rsidR="000954E8" w:rsidP="00A07E4C" w:rsidRDefault="000954E8" w14:paraId="22C95B8A" w14:textId="77777777">
            <w:pPr>
              <w:pStyle w:val="ListParagraph"/>
              <w:tabs>
                <w:tab w:val="left" w:pos="121"/>
              </w:tabs>
              <w:ind w:left="931" w:right="216" w:hanging="121"/>
              <w:rPr>
                <w:sz w:val="22"/>
              </w:rPr>
            </w:pPr>
            <w:r w:rsidRPr="004F53D2">
              <w:rPr>
                <w:sz w:val="22"/>
              </w:rPr>
              <w:t>g.</w:t>
            </w:r>
            <w:r w:rsidRPr="004F53D2">
              <w:rPr>
                <w:sz w:val="22"/>
              </w:rPr>
              <w:tab/>
              <w:t>isobutane</w:t>
            </w:r>
          </w:p>
          <w:p w:rsidRPr="004F53D2" w:rsidR="000954E8" w:rsidP="00A07E4C" w:rsidRDefault="000954E8" w14:paraId="21C9775B" w14:textId="77777777">
            <w:pPr>
              <w:pStyle w:val="ListParagraph"/>
              <w:tabs>
                <w:tab w:val="left" w:pos="121"/>
              </w:tabs>
              <w:ind w:left="931" w:right="216" w:hanging="121"/>
              <w:rPr>
                <w:sz w:val="22"/>
              </w:rPr>
            </w:pPr>
            <w:r w:rsidRPr="004F53D2">
              <w:rPr>
                <w:sz w:val="22"/>
              </w:rPr>
              <w:t>h.</w:t>
            </w:r>
            <w:r w:rsidRPr="004F53D2">
              <w:rPr>
                <w:sz w:val="22"/>
              </w:rPr>
              <w:tab/>
              <w:t>combinations of any of the above propellants</w:t>
            </w:r>
          </w:p>
          <w:p w:rsidRPr="004F53D2" w:rsidR="000954E8" w:rsidP="00A07E4C" w:rsidRDefault="000954E8" w14:paraId="48F496B4" w14:textId="77777777">
            <w:pPr>
              <w:pStyle w:val="ListParagraph"/>
              <w:tabs>
                <w:tab w:val="left" w:pos="121"/>
              </w:tabs>
              <w:ind w:left="360" w:right="216"/>
              <w:rPr>
                <w:sz w:val="22"/>
              </w:rPr>
            </w:pPr>
          </w:p>
          <w:p w:rsidRPr="004F53D2" w:rsidR="000954E8" w:rsidP="00A07E4C" w:rsidRDefault="000954E8" w14:paraId="287E80E6" w14:textId="77777777">
            <w:pPr>
              <w:pStyle w:val="ListParagraph"/>
              <w:tabs>
                <w:tab w:val="left" w:pos="121"/>
              </w:tabs>
              <w:ind w:left="360" w:right="216"/>
              <w:rPr>
                <w:sz w:val="22"/>
              </w:rPr>
            </w:pPr>
            <w:r w:rsidRPr="004F53D2">
              <w:rPr>
                <w:sz w:val="22"/>
              </w:rPr>
              <w:t>Acceptable solvents:</w:t>
            </w:r>
          </w:p>
          <w:p w:rsidRPr="004F53D2" w:rsidR="000954E8" w:rsidP="00A07E4C" w:rsidRDefault="000954E8" w14:paraId="2D874B02" w14:textId="77777777">
            <w:pPr>
              <w:pStyle w:val="ListParagraph"/>
              <w:tabs>
                <w:tab w:val="left" w:pos="121"/>
              </w:tabs>
              <w:ind w:left="841" w:right="216"/>
              <w:rPr>
                <w:sz w:val="22"/>
              </w:rPr>
            </w:pPr>
            <w:r w:rsidRPr="004F53D2">
              <w:rPr>
                <w:sz w:val="22"/>
              </w:rPr>
              <w:t>a.</w:t>
            </w:r>
            <w:r w:rsidRPr="004F53D2">
              <w:rPr>
                <w:sz w:val="22"/>
              </w:rPr>
              <w:tab/>
              <w:t>any type of ethanol for production</w:t>
            </w:r>
          </w:p>
          <w:p w:rsidRPr="004F53D2" w:rsidR="000954E8" w:rsidP="00A07E4C" w:rsidRDefault="000954E8" w14:paraId="3A555562" w14:textId="77777777">
            <w:pPr>
              <w:pStyle w:val="ListParagraph"/>
              <w:tabs>
                <w:tab w:val="left" w:pos="121"/>
              </w:tabs>
              <w:ind w:left="360" w:right="216"/>
              <w:rPr>
                <w:sz w:val="22"/>
              </w:rPr>
            </w:pPr>
          </w:p>
          <w:p w:rsidRPr="004F53D2" w:rsidR="000954E8" w:rsidP="00A07E4C" w:rsidRDefault="000954E8" w14:paraId="76B95947" w14:textId="77777777">
            <w:pPr>
              <w:pStyle w:val="ListParagraph"/>
              <w:tabs>
                <w:tab w:val="left" w:pos="121"/>
              </w:tabs>
              <w:ind w:left="360" w:right="216"/>
              <w:rPr>
                <w:sz w:val="22"/>
                <w:u w:val="single"/>
              </w:rPr>
            </w:pPr>
            <w:r w:rsidRPr="004F53D2">
              <w:rPr>
                <w:sz w:val="22"/>
                <w:u w:val="single"/>
              </w:rPr>
              <w:t>Acceptable material for normal production and ancillary operation:</w:t>
            </w:r>
          </w:p>
          <w:p w:rsidRPr="004F53D2" w:rsidR="000954E8" w:rsidP="00A07E4C" w:rsidRDefault="000954E8" w14:paraId="3FA30057" w14:textId="77777777">
            <w:pPr>
              <w:pStyle w:val="ListParagraph"/>
              <w:tabs>
                <w:tab w:val="left" w:pos="121"/>
              </w:tabs>
              <w:ind w:left="360" w:right="216"/>
              <w:rPr>
                <w:sz w:val="22"/>
              </w:rPr>
            </w:pPr>
          </w:p>
          <w:p w:rsidRPr="004F53D2" w:rsidR="000954E8" w:rsidP="00A07E4C" w:rsidRDefault="000954E8" w14:paraId="6B50D3B5" w14:textId="2BD241EC">
            <w:pPr>
              <w:pStyle w:val="ListParagraph"/>
              <w:tabs>
                <w:tab w:val="left" w:pos="121"/>
              </w:tabs>
              <w:ind w:left="360" w:right="216"/>
              <w:rPr>
                <w:sz w:val="22"/>
              </w:rPr>
            </w:pPr>
            <w:r w:rsidRPr="004F53D2">
              <w:rPr>
                <w:sz w:val="22"/>
              </w:rPr>
              <w:t xml:space="preserve">The Permittee may use the following materials without prior MassDEP and </w:t>
            </w:r>
            <w:r>
              <w:rPr>
                <w:sz w:val="22"/>
              </w:rPr>
              <w:t>US</w:t>
            </w:r>
            <w:r w:rsidRPr="004F53D2">
              <w:rPr>
                <w:sz w:val="22"/>
              </w:rPr>
              <w:t>EPA approval provided that facility continues to use pollution prevention techniques to minimize emissions, and maintains emission records:</w:t>
            </w:r>
          </w:p>
          <w:p w:rsidRPr="00224901" w:rsidR="000954E8" w:rsidP="00A07E4C" w:rsidRDefault="000954E8" w14:paraId="14207E54" w14:textId="34A4CED6">
            <w:pPr>
              <w:pStyle w:val="ListParagraph"/>
              <w:tabs>
                <w:tab w:val="left" w:pos="121"/>
              </w:tabs>
              <w:ind w:left="841" w:right="216"/>
              <w:rPr>
                <w:sz w:val="22"/>
              </w:rPr>
            </w:pPr>
            <w:r w:rsidRPr="004F53D2">
              <w:rPr>
                <w:sz w:val="22"/>
              </w:rPr>
              <w:t>a.</w:t>
            </w:r>
            <w:r w:rsidRPr="004F53D2">
              <w:rPr>
                <w:sz w:val="22"/>
              </w:rPr>
              <w:tab/>
              <w:t xml:space="preserve">any solvents or materials in the laboratories; </w:t>
            </w:r>
          </w:p>
          <w:p w:rsidRPr="004F53D2" w:rsidR="000954E8" w:rsidP="00A07E4C" w:rsidRDefault="000954E8" w14:paraId="30303148" w14:textId="5BA3A29F">
            <w:pPr>
              <w:pStyle w:val="ListParagraph"/>
              <w:tabs>
                <w:tab w:val="left" w:pos="121"/>
              </w:tabs>
              <w:ind w:left="841" w:right="216"/>
              <w:rPr>
                <w:sz w:val="22"/>
              </w:rPr>
            </w:pPr>
            <w:r w:rsidRPr="004F53D2">
              <w:rPr>
                <w:sz w:val="22"/>
              </w:rPr>
              <w:t>b.</w:t>
            </w:r>
            <w:r w:rsidRPr="004F53D2">
              <w:rPr>
                <w:sz w:val="22"/>
              </w:rPr>
              <w:tab/>
              <w:t>any cleaning solvents associated with ancillary operations.</w:t>
            </w:r>
          </w:p>
        </w:tc>
      </w:tr>
      <w:tr w:rsidRPr="004F53D2" w:rsidR="000954E8" w:rsidTr="000954E8" w14:paraId="103F7D94" w14:textId="77777777">
        <w:trPr>
          <w:cantSplit/>
          <w:jc w:val="center"/>
        </w:trPr>
        <w:tc>
          <w:tcPr>
            <w:tcW w:w="1345" w:type="dxa"/>
            <w:vMerge/>
            <w:vAlign w:val="center"/>
          </w:tcPr>
          <w:p w:rsidRPr="004F53D2" w:rsidR="000954E8" w:rsidP="000954E8" w:rsidRDefault="000954E8" w14:paraId="6ABA3DF1" w14:textId="4742DEA1">
            <w:pPr>
              <w:jc w:val="center"/>
            </w:pPr>
          </w:p>
        </w:tc>
        <w:tc>
          <w:tcPr>
            <w:tcW w:w="8735" w:type="dxa"/>
            <w:shd w:val="clear" w:color="auto" w:fill="auto"/>
            <w:vAlign w:val="center"/>
          </w:tcPr>
          <w:p w:rsidRPr="004F53D2" w:rsidR="000954E8" w:rsidP="005000AD" w:rsidRDefault="000954E8" w14:paraId="05E729E9" w14:textId="661E5ACA">
            <w:pPr>
              <w:pStyle w:val="ListParagraph"/>
              <w:numPr>
                <w:ilvl w:val="0"/>
                <w:numId w:val="15"/>
              </w:numPr>
              <w:spacing w:before="20" w:after="80"/>
              <w:ind w:right="216"/>
              <w:rPr>
                <w:sz w:val="22"/>
              </w:rPr>
            </w:pPr>
            <w:r w:rsidRPr="004F53D2">
              <w:rPr>
                <w:sz w:val="22"/>
              </w:rPr>
              <w:t xml:space="preserve"> The Permittee </w:t>
            </w:r>
            <w:r>
              <w:rPr>
                <w:sz w:val="22"/>
              </w:rPr>
              <w:t>shall</w:t>
            </w:r>
            <w:r w:rsidRPr="004F53D2">
              <w:rPr>
                <w:sz w:val="22"/>
              </w:rPr>
              <w:t xml:space="preserve"> comply with </w:t>
            </w:r>
            <w:r w:rsidRPr="00DD0869">
              <w:rPr>
                <w:sz w:val="22"/>
              </w:rPr>
              <w:t>310 CMR 7.18(1)(c)</w:t>
            </w:r>
            <w:r w:rsidRPr="004F53D2">
              <w:rPr>
                <w:sz w:val="22"/>
              </w:rPr>
              <w:t xml:space="preserve"> which requires that VOC be stored and disposed of “in a manner which will minimize evaporation to the atmosphere.  Proper storage shall be in a container with a tight-fitting cover. Proper disposal shall include incineration in an incinerator approved by the Department, transfer to another person licensed by the Department to handle VOC, or any other equivalent method approved by the Department."  </w:t>
            </w:r>
          </w:p>
        </w:tc>
      </w:tr>
      <w:tr w:rsidRPr="004F53D2" w:rsidR="000954E8" w:rsidTr="000954E8" w14:paraId="0A663CDE" w14:textId="77777777">
        <w:trPr>
          <w:cantSplit/>
          <w:jc w:val="center"/>
        </w:trPr>
        <w:tc>
          <w:tcPr>
            <w:tcW w:w="1345" w:type="dxa"/>
            <w:vMerge/>
            <w:vAlign w:val="center"/>
          </w:tcPr>
          <w:p w:rsidRPr="004F53D2" w:rsidR="000954E8" w:rsidP="000954E8" w:rsidRDefault="000954E8" w14:paraId="52BC4538" w14:textId="48378DA5">
            <w:pPr>
              <w:jc w:val="center"/>
            </w:pPr>
          </w:p>
        </w:tc>
        <w:tc>
          <w:tcPr>
            <w:tcW w:w="8735" w:type="dxa"/>
            <w:shd w:val="clear" w:color="auto" w:fill="auto"/>
            <w:vAlign w:val="center"/>
          </w:tcPr>
          <w:p w:rsidRPr="004F53D2" w:rsidR="000954E8" w:rsidP="005000AD" w:rsidRDefault="000954E8" w14:paraId="1BB85A20" w14:textId="44B2DCF5">
            <w:pPr>
              <w:pStyle w:val="ListParagraph"/>
              <w:numPr>
                <w:ilvl w:val="0"/>
                <w:numId w:val="15"/>
              </w:numPr>
              <w:spacing w:before="20" w:after="80"/>
              <w:ind w:right="216"/>
              <w:rPr>
                <w:sz w:val="22"/>
              </w:rPr>
            </w:pPr>
            <w:r w:rsidRPr="004F53D2">
              <w:rPr>
                <w:sz w:val="22"/>
              </w:rPr>
              <w:t xml:space="preserve">All VOC or </w:t>
            </w:r>
            <w:r w:rsidRPr="002512DA">
              <w:rPr>
                <w:sz w:val="22"/>
              </w:rPr>
              <w:t xml:space="preserve">single and total </w:t>
            </w:r>
            <w:r w:rsidRPr="004F53D2">
              <w:rPr>
                <w:sz w:val="22"/>
              </w:rPr>
              <w:t>HAPs containing materials, such as solvents and clean-up solutions, shall be transported and stored in tightly covered containers.</w:t>
            </w:r>
          </w:p>
        </w:tc>
      </w:tr>
      <w:tr w:rsidRPr="004F53D2" w:rsidR="000954E8" w:rsidTr="000954E8" w14:paraId="16C3B0F2" w14:textId="77777777">
        <w:trPr>
          <w:cantSplit/>
          <w:trHeight w:val="822"/>
          <w:jc w:val="center"/>
        </w:trPr>
        <w:tc>
          <w:tcPr>
            <w:tcW w:w="1345" w:type="dxa"/>
            <w:vMerge w:val="restart"/>
            <w:vAlign w:val="center"/>
          </w:tcPr>
          <w:p w:rsidRPr="004F53D2" w:rsidR="000954E8" w:rsidP="000954E8" w:rsidRDefault="000954E8" w14:paraId="0F39CFD1" w14:textId="1E149770">
            <w:pPr>
              <w:jc w:val="center"/>
            </w:pPr>
            <w:r w:rsidRPr="000954E8">
              <w:t>Facility-wide</w:t>
            </w:r>
          </w:p>
        </w:tc>
        <w:tc>
          <w:tcPr>
            <w:tcW w:w="8735" w:type="dxa"/>
            <w:shd w:val="clear" w:color="auto" w:fill="auto"/>
            <w:vAlign w:val="center"/>
          </w:tcPr>
          <w:p w:rsidRPr="004F53D2" w:rsidR="000954E8" w:rsidP="005000AD" w:rsidRDefault="000954E8" w14:paraId="37E63D1F" w14:textId="3F92A1F5">
            <w:pPr>
              <w:pStyle w:val="ListParagraph"/>
              <w:numPr>
                <w:ilvl w:val="0"/>
                <w:numId w:val="15"/>
              </w:numPr>
              <w:spacing w:before="20" w:after="80"/>
              <w:ind w:right="216"/>
              <w:rPr>
                <w:sz w:val="22"/>
              </w:rPr>
            </w:pPr>
            <w:r w:rsidRPr="004F53D2">
              <w:rPr>
                <w:sz w:val="22"/>
              </w:rPr>
              <w:t>All cleaning rags used in conjunction with the cleaning solutions shall be placed in tightly covered containers when not in use and shall be collected for proper recycling or disposal.</w:t>
            </w:r>
          </w:p>
        </w:tc>
      </w:tr>
      <w:tr w:rsidRPr="004F53D2" w:rsidR="000954E8" w:rsidTr="00A07E4C" w14:paraId="6DEECC1B" w14:textId="77777777">
        <w:trPr>
          <w:cantSplit/>
          <w:jc w:val="center"/>
        </w:trPr>
        <w:tc>
          <w:tcPr>
            <w:tcW w:w="1345" w:type="dxa"/>
            <w:vMerge/>
          </w:tcPr>
          <w:p w:rsidRPr="004F53D2" w:rsidR="000954E8" w:rsidP="004F53D2" w:rsidRDefault="000954E8" w14:paraId="6C67EFDB" w14:textId="77777777"/>
        </w:tc>
        <w:tc>
          <w:tcPr>
            <w:tcW w:w="8735" w:type="dxa"/>
            <w:vAlign w:val="center"/>
          </w:tcPr>
          <w:p w:rsidRPr="004F53D2" w:rsidR="000954E8" w:rsidP="005000AD" w:rsidRDefault="000954E8" w14:paraId="6A698A62" w14:textId="069C7A51">
            <w:pPr>
              <w:pStyle w:val="ListParagraph"/>
              <w:numPr>
                <w:ilvl w:val="0"/>
                <w:numId w:val="15"/>
              </w:numPr>
              <w:spacing w:before="20" w:after="80"/>
              <w:ind w:right="216"/>
              <w:rPr>
                <w:sz w:val="22"/>
              </w:rPr>
            </w:pPr>
            <w:r w:rsidRPr="004F53D2">
              <w:rPr>
                <w:sz w:val="22"/>
              </w:rPr>
              <w:t xml:space="preserve">The Permittee is subject to the requirements of 42 U.S.C. 7401, </w:t>
            </w:r>
            <w:r>
              <w:rPr>
                <w:sz w:val="22"/>
              </w:rPr>
              <w:t>section</w:t>
            </w:r>
            <w:r w:rsidRPr="004F53D2">
              <w:rPr>
                <w:sz w:val="22"/>
              </w:rPr>
              <w:t xml:space="preserve"> 112(r) Accidental Release Prevention Requirements: Risk Management under Clean Air Act 112(r)(7) and has submitted to the “regulating authority” the facility’s contingency plan for responding to accidental releases of regulated substances. </w:t>
            </w:r>
          </w:p>
        </w:tc>
      </w:tr>
      <w:tr w:rsidRPr="004F53D2" w:rsidR="000954E8" w:rsidTr="00A07E4C" w14:paraId="29E83508" w14:textId="77777777">
        <w:trPr>
          <w:cantSplit/>
          <w:jc w:val="center"/>
        </w:trPr>
        <w:tc>
          <w:tcPr>
            <w:tcW w:w="1345" w:type="dxa"/>
            <w:vMerge/>
          </w:tcPr>
          <w:p w:rsidRPr="004F53D2" w:rsidR="000954E8" w:rsidP="004F53D2" w:rsidRDefault="000954E8" w14:paraId="7D192755" w14:textId="77777777"/>
        </w:tc>
        <w:tc>
          <w:tcPr>
            <w:tcW w:w="8735" w:type="dxa"/>
            <w:vAlign w:val="center"/>
          </w:tcPr>
          <w:p w:rsidRPr="004F53D2" w:rsidR="000954E8" w:rsidP="005000AD" w:rsidRDefault="000954E8" w14:paraId="4906EE13" w14:textId="3C0D1772">
            <w:pPr>
              <w:pStyle w:val="ListParagraph"/>
              <w:numPr>
                <w:ilvl w:val="0"/>
                <w:numId w:val="15"/>
              </w:numPr>
              <w:spacing w:before="20" w:after="80"/>
              <w:ind w:right="216"/>
              <w:rPr>
                <w:sz w:val="22"/>
              </w:rPr>
            </w:pPr>
            <w:r w:rsidRPr="004F53D2">
              <w:rPr>
                <w:sz w:val="22"/>
              </w:rPr>
              <w:t xml:space="preserve">The Permittee is subject to the requirements of 40 CFR 82: Protection of Stratospheric Ozone and the </w:t>
            </w:r>
            <w:r w:rsidRPr="00224901">
              <w:rPr>
                <w:sz w:val="22"/>
              </w:rPr>
              <w:t>USEPA</w:t>
            </w:r>
            <w:r w:rsidRPr="004F53D2">
              <w:rPr>
                <w:sz w:val="22"/>
              </w:rPr>
              <w:t xml:space="preserve"> enforces these requirements.</w:t>
            </w:r>
          </w:p>
        </w:tc>
      </w:tr>
      <w:tr w:rsidRPr="004F53D2" w:rsidR="000954E8" w:rsidTr="00A07E4C" w14:paraId="2107D891" w14:textId="77777777">
        <w:trPr>
          <w:cantSplit/>
          <w:jc w:val="center"/>
        </w:trPr>
        <w:tc>
          <w:tcPr>
            <w:tcW w:w="1345" w:type="dxa"/>
            <w:vMerge/>
          </w:tcPr>
          <w:p w:rsidRPr="004F53D2" w:rsidR="000954E8" w:rsidP="004F53D2" w:rsidRDefault="000954E8" w14:paraId="4C473D7C" w14:textId="77777777"/>
        </w:tc>
        <w:tc>
          <w:tcPr>
            <w:tcW w:w="8735" w:type="dxa"/>
            <w:vAlign w:val="center"/>
          </w:tcPr>
          <w:p w:rsidRPr="004F53D2" w:rsidR="000954E8" w:rsidP="005000AD" w:rsidRDefault="000954E8" w14:paraId="640EA61F" w14:textId="5C9ED4B8">
            <w:pPr>
              <w:pStyle w:val="ListParagraph"/>
              <w:numPr>
                <w:ilvl w:val="0"/>
                <w:numId w:val="15"/>
              </w:numPr>
              <w:spacing w:before="20" w:after="80"/>
              <w:ind w:right="216"/>
              <w:rPr>
                <w:sz w:val="22"/>
              </w:rPr>
            </w:pPr>
            <w:r w:rsidRPr="004F53D2">
              <w:rPr>
                <w:sz w:val="22"/>
              </w:rPr>
              <w:t xml:space="preserve">The Permittee is subject to the requirements of 40 CFR Part 59, Subpart C and the </w:t>
            </w:r>
            <w:r w:rsidRPr="00224901">
              <w:rPr>
                <w:sz w:val="22"/>
              </w:rPr>
              <w:t>USEPA</w:t>
            </w:r>
            <w:r w:rsidRPr="004F53D2">
              <w:rPr>
                <w:sz w:val="22"/>
              </w:rPr>
              <w:t xml:space="preserve"> enforces these requirements.</w:t>
            </w:r>
          </w:p>
        </w:tc>
      </w:tr>
      <w:tr w:rsidRPr="004F53D2" w:rsidR="000954E8" w:rsidTr="00A07E4C" w14:paraId="509A7C21" w14:textId="77777777">
        <w:trPr>
          <w:cantSplit/>
          <w:jc w:val="center"/>
        </w:trPr>
        <w:tc>
          <w:tcPr>
            <w:tcW w:w="1345" w:type="dxa"/>
            <w:vMerge/>
          </w:tcPr>
          <w:p w:rsidRPr="004F53D2" w:rsidR="000954E8" w:rsidP="004F53D2" w:rsidRDefault="000954E8" w14:paraId="450BFC55" w14:textId="77777777"/>
        </w:tc>
        <w:tc>
          <w:tcPr>
            <w:tcW w:w="8735" w:type="dxa"/>
            <w:vAlign w:val="center"/>
          </w:tcPr>
          <w:p w:rsidRPr="004F53D2" w:rsidR="000954E8" w:rsidP="005000AD" w:rsidRDefault="000954E8" w14:paraId="77DC118E" w14:textId="0DF152F8">
            <w:pPr>
              <w:pStyle w:val="ListParagraph"/>
              <w:numPr>
                <w:ilvl w:val="0"/>
                <w:numId w:val="15"/>
              </w:numPr>
              <w:spacing w:before="20" w:after="80"/>
              <w:ind w:right="216"/>
              <w:rPr>
                <w:sz w:val="22"/>
              </w:rPr>
            </w:pPr>
            <w:r w:rsidRPr="004F53D2">
              <w:rPr>
                <w:sz w:val="22"/>
              </w:rPr>
              <w:t>The Permittee is subject to the requirements of 310 CMR 7.25, Best Available Controls for Consumer and Commercial Product</w:t>
            </w:r>
            <w:r>
              <w:rPr>
                <w:sz w:val="22"/>
              </w:rPr>
              <w:t>s</w:t>
            </w:r>
            <w:r w:rsidRPr="004F53D2">
              <w:rPr>
                <w:sz w:val="22"/>
              </w:rPr>
              <w:t>.</w:t>
            </w:r>
          </w:p>
        </w:tc>
      </w:tr>
      <w:tr w:rsidRPr="004F53D2" w:rsidR="000954E8" w:rsidTr="00A07E4C" w14:paraId="2278DA2A" w14:textId="77777777">
        <w:trPr>
          <w:cantSplit/>
          <w:jc w:val="center"/>
        </w:trPr>
        <w:tc>
          <w:tcPr>
            <w:tcW w:w="1345" w:type="dxa"/>
            <w:vMerge/>
          </w:tcPr>
          <w:p w:rsidRPr="004F53D2" w:rsidR="000954E8" w:rsidP="004F53D2" w:rsidRDefault="000954E8" w14:paraId="5198EE74" w14:textId="77777777"/>
        </w:tc>
        <w:tc>
          <w:tcPr>
            <w:tcW w:w="8735" w:type="dxa"/>
            <w:vAlign w:val="center"/>
          </w:tcPr>
          <w:p w:rsidRPr="006F11FC" w:rsidR="000954E8" w:rsidP="006F11FC" w:rsidRDefault="008B00E3" w14:paraId="615C06AC" w14:textId="2A61387C">
            <w:pPr>
              <w:pStyle w:val="ListParagraph"/>
              <w:numPr>
                <w:ilvl w:val="0"/>
                <w:numId w:val="15"/>
              </w:numPr>
              <w:spacing w:before="20" w:after="80"/>
              <w:ind w:right="216"/>
              <w:rPr>
                <w:sz w:val="22"/>
              </w:rPr>
            </w:pPr>
            <w:r w:rsidRPr="008B00E3">
              <w:rPr>
                <w:sz w:val="22"/>
              </w:rPr>
              <w:t xml:space="preserve">This Plan Approval, NE-23-016 (ePLACE Authorization No.: </w:t>
            </w:r>
            <w:r w:rsidRPr="00DB78C5">
              <w:rPr>
                <w:sz w:val="22"/>
                <w:highlight w:val="lightGray"/>
              </w:rPr>
              <w:t>AQ02P-0000xxx)</w:t>
            </w:r>
            <w:r w:rsidRPr="008B00E3">
              <w:rPr>
                <w:sz w:val="22"/>
              </w:rPr>
              <w:t xml:space="preserve"> supersedes Plan Approval NE-21-024, issued to the Permittee on March 22, 2022, in its entirety, with exception of all plan application materials submitted as part of the Plan Approval NE-21-024 become part of this Plan Approval, NE 23 016. </w:t>
            </w:r>
          </w:p>
        </w:tc>
      </w:tr>
    </w:tbl>
    <w:p w:rsidR="001A31A0" w:rsidP="001575E0" w:rsidRDefault="001A31A0" w14:paraId="3B37441F" w14:textId="77777777">
      <w:pPr>
        <w:rPr>
          <w:b/>
          <w:bCs/>
          <w:sz w:val="18"/>
          <w:szCs w:val="18"/>
        </w:rPr>
      </w:pPr>
    </w:p>
    <w:p w:rsidRPr="0054555C" w:rsidR="00124294" w:rsidP="001575E0" w:rsidRDefault="00CE25E6" w14:paraId="6A62C8E5" w14:textId="4F20DFD1">
      <w:pPr>
        <w:rPr>
          <w:i/>
          <w:sz w:val="18"/>
          <w:szCs w:val="18"/>
        </w:rPr>
      </w:pPr>
      <w:r w:rsidRPr="0054555C">
        <w:rPr>
          <w:b/>
          <w:bCs/>
          <w:sz w:val="18"/>
          <w:szCs w:val="18"/>
        </w:rPr>
        <w:t>Table 6 Key:</w:t>
      </w:r>
      <w:r w:rsidRPr="0054555C" w:rsidR="001827AD">
        <w:rPr>
          <w:i/>
          <w:sz w:val="18"/>
          <w:szCs w:val="18"/>
        </w:rPr>
        <w:t xml:space="preserve"> </w:t>
      </w:r>
    </w:p>
    <w:p w:rsidRPr="00124294" w:rsidR="0054555C" w:rsidP="001575E0" w:rsidRDefault="0054555C" w14:paraId="58915604" w14:textId="77777777">
      <w:pPr>
        <w:rPr>
          <w:iCs/>
          <w:sz w:val="18"/>
          <w:szCs w:val="18"/>
        </w:rPr>
      </w:pPr>
    </w:p>
    <w:p w:rsidR="00537A48" w:rsidP="00537A48" w:rsidRDefault="00537A48" w14:paraId="3A475F8E" w14:textId="45832A9B">
      <w:pPr>
        <w:tabs>
          <w:tab w:val="left" w:pos="-720"/>
          <w:tab w:val="left" w:pos="69"/>
        </w:tabs>
        <w:suppressAutoHyphens/>
        <w:ind w:left="90" w:right="72" w:hanging="21"/>
        <w:rPr>
          <w:bCs/>
          <w:spacing w:val="-2"/>
          <w:sz w:val="18"/>
          <w:szCs w:val="18"/>
        </w:rPr>
      </w:pPr>
      <w:r w:rsidRPr="000F7AD5">
        <w:rPr>
          <w:bCs/>
          <w:spacing w:val="-2"/>
          <w:sz w:val="18"/>
          <w:szCs w:val="18"/>
        </w:rPr>
        <w:t xml:space="preserve">EU = Emission Unit </w:t>
      </w:r>
      <w:r>
        <w:rPr>
          <w:bCs/>
          <w:spacing w:val="-2"/>
          <w:sz w:val="18"/>
          <w:szCs w:val="18"/>
        </w:rPr>
        <w:tab/>
      </w:r>
      <w:r>
        <w:rPr>
          <w:bCs/>
          <w:spacing w:val="-2"/>
          <w:sz w:val="18"/>
          <w:szCs w:val="18"/>
        </w:rPr>
        <w:tab/>
      </w:r>
      <w:r>
        <w:rPr>
          <w:bCs/>
          <w:spacing w:val="-2"/>
          <w:sz w:val="18"/>
          <w:szCs w:val="18"/>
        </w:rPr>
        <w:tab/>
      </w:r>
      <w:r>
        <w:rPr>
          <w:bCs/>
          <w:spacing w:val="-2"/>
          <w:sz w:val="18"/>
          <w:szCs w:val="18"/>
        </w:rPr>
        <w:tab/>
      </w:r>
      <w:r w:rsidRPr="00537A48">
        <w:rPr>
          <w:bCs/>
          <w:spacing w:val="-2"/>
          <w:sz w:val="18"/>
          <w:szCs w:val="18"/>
        </w:rPr>
        <w:t>MassDEP = Massachusetts Department of Environmental Protection</w:t>
      </w:r>
    </w:p>
    <w:p w:rsidR="005006BA" w:rsidP="00537A48" w:rsidRDefault="00537A48" w14:paraId="67490BD1" w14:textId="11C3E049">
      <w:pPr>
        <w:tabs>
          <w:tab w:val="left" w:pos="-720"/>
          <w:tab w:val="left" w:pos="69"/>
        </w:tabs>
        <w:suppressAutoHyphens/>
        <w:ind w:left="90" w:right="72" w:hanging="21"/>
        <w:rPr>
          <w:bCs/>
          <w:spacing w:val="-2"/>
          <w:sz w:val="18"/>
          <w:szCs w:val="18"/>
        </w:rPr>
      </w:pPr>
      <w:r w:rsidRPr="00B635E9">
        <w:rPr>
          <w:bCs/>
          <w:spacing w:val="-2"/>
          <w:sz w:val="18"/>
          <w:szCs w:val="18"/>
        </w:rPr>
        <w:t>VOC = volatile organic compounds</w:t>
      </w:r>
      <w:r w:rsidRPr="00D9594B" w:rsidR="00D9594B">
        <w:rPr>
          <w:bCs/>
          <w:spacing w:val="-2"/>
          <w:sz w:val="18"/>
          <w:szCs w:val="18"/>
        </w:rPr>
        <w:t xml:space="preserve"> </w:t>
      </w:r>
      <w:r w:rsidR="00D9594B">
        <w:rPr>
          <w:bCs/>
          <w:spacing w:val="-2"/>
          <w:sz w:val="18"/>
          <w:szCs w:val="18"/>
        </w:rPr>
        <w:tab/>
      </w:r>
      <w:r w:rsidR="00D9594B">
        <w:rPr>
          <w:bCs/>
          <w:spacing w:val="-2"/>
          <w:sz w:val="18"/>
          <w:szCs w:val="18"/>
        </w:rPr>
        <w:tab/>
      </w:r>
      <w:r w:rsidR="00D9594B">
        <w:rPr>
          <w:bCs/>
          <w:spacing w:val="-2"/>
          <w:sz w:val="18"/>
          <w:szCs w:val="18"/>
        </w:rPr>
        <w:tab/>
      </w:r>
      <w:r w:rsidRPr="00537A48" w:rsidR="00D9594B">
        <w:rPr>
          <w:bCs/>
          <w:spacing w:val="-2"/>
          <w:sz w:val="18"/>
          <w:szCs w:val="18"/>
        </w:rPr>
        <w:t>USEPA = United States Environmental Protection Agency</w:t>
      </w:r>
    </w:p>
    <w:p w:rsidR="0054555C" w:rsidP="0054555C" w:rsidRDefault="005006BA" w14:paraId="3DCF4836" w14:textId="77777777">
      <w:pPr>
        <w:tabs>
          <w:tab w:val="left" w:pos="-720"/>
          <w:tab w:val="left" w:pos="69"/>
        </w:tabs>
        <w:suppressAutoHyphens/>
        <w:ind w:left="90" w:right="72" w:hanging="21"/>
        <w:rPr>
          <w:bCs/>
          <w:spacing w:val="-2"/>
          <w:sz w:val="18"/>
          <w:szCs w:val="18"/>
        </w:rPr>
      </w:pPr>
      <w:r>
        <w:rPr>
          <w:bCs/>
          <w:spacing w:val="-2"/>
          <w:sz w:val="18"/>
          <w:szCs w:val="18"/>
        </w:rPr>
        <w:t xml:space="preserve">HAP = hazardous </w:t>
      </w:r>
      <w:r w:rsidR="00D9594B">
        <w:rPr>
          <w:bCs/>
          <w:spacing w:val="-2"/>
          <w:sz w:val="18"/>
          <w:szCs w:val="18"/>
        </w:rPr>
        <w:t>air pollutant</w:t>
      </w:r>
      <w:r w:rsidR="00537A48">
        <w:rPr>
          <w:bCs/>
          <w:spacing w:val="-2"/>
          <w:sz w:val="18"/>
          <w:szCs w:val="18"/>
        </w:rPr>
        <w:tab/>
      </w:r>
      <w:r w:rsidR="001940B9">
        <w:rPr>
          <w:bCs/>
          <w:spacing w:val="-2"/>
          <w:sz w:val="18"/>
          <w:szCs w:val="18"/>
        </w:rPr>
        <w:tab/>
      </w:r>
      <w:r w:rsidR="001940B9">
        <w:rPr>
          <w:bCs/>
          <w:spacing w:val="-2"/>
          <w:sz w:val="18"/>
          <w:szCs w:val="18"/>
        </w:rPr>
        <w:tab/>
      </w:r>
      <w:r w:rsidRPr="001940B9" w:rsidR="001940B9">
        <w:rPr>
          <w:bCs/>
          <w:spacing w:val="-2"/>
          <w:sz w:val="18"/>
          <w:szCs w:val="18"/>
        </w:rPr>
        <w:t xml:space="preserve">TTV </w:t>
      </w:r>
      <w:r w:rsidR="001940B9">
        <w:rPr>
          <w:bCs/>
          <w:spacing w:val="-2"/>
          <w:sz w:val="18"/>
          <w:szCs w:val="18"/>
        </w:rPr>
        <w:t xml:space="preserve">= </w:t>
      </w:r>
      <w:r w:rsidRPr="001940B9" w:rsidR="001940B9">
        <w:rPr>
          <w:bCs/>
          <w:spacing w:val="-2"/>
          <w:sz w:val="18"/>
          <w:szCs w:val="18"/>
        </w:rPr>
        <w:t>Through the Valve</w:t>
      </w:r>
      <w:r w:rsidRPr="0054555C" w:rsidR="0054555C">
        <w:rPr>
          <w:sz w:val="18"/>
          <w:szCs w:val="18"/>
        </w:rPr>
        <w:t xml:space="preserve"> </w:t>
      </w:r>
      <w:r w:rsidR="0054555C">
        <w:rPr>
          <w:bCs/>
          <w:spacing w:val="-2"/>
          <w:sz w:val="18"/>
          <w:szCs w:val="18"/>
        </w:rPr>
        <w:tab/>
      </w:r>
    </w:p>
    <w:p w:rsidR="0054555C" w:rsidP="0054555C" w:rsidRDefault="0054555C" w14:paraId="58B5033A" w14:textId="0882D37B">
      <w:pPr>
        <w:tabs>
          <w:tab w:val="left" w:pos="-720"/>
          <w:tab w:val="left" w:pos="69"/>
        </w:tabs>
        <w:suppressAutoHyphens/>
        <w:ind w:left="90" w:right="72" w:hanging="21"/>
        <w:rPr>
          <w:sz w:val="18"/>
          <w:szCs w:val="18"/>
        </w:rPr>
      </w:pPr>
      <w:r w:rsidRPr="004A4E47">
        <w:rPr>
          <w:bCs/>
          <w:spacing w:val="-2"/>
          <w:sz w:val="18"/>
          <w:szCs w:val="18"/>
        </w:rPr>
        <w:t>RACT</w:t>
      </w:r>
      <w:r>
        <w:rPr>
          <w:bCs/>
          <w:spacing w:val="-2"/>
          <w:sz w:val="18"/>
          <w:szCs w:val="18"/>
        </w:rPr>
        <w:t xml:space="preserve"> = Reasonably Control Technology</w:t>
      </w:r>
      <w:r w:rsidRPr="0054555C">
        <w:rPr>
          <w:sz w:val="18"/>
          <w:szCs w:val="18"/>
        </w:rPr>
        <w:t xml:space="preserve"> </w:t>
      </w:r>
      <w:r>
        <w:rPr>
          <w:sz w:val="18"/>
          <w:szCs w:val="18"/>
        </w:rPr>
        <w:tab/>
      </w:r>
      <w:r>
        <w:rPr>
          <w:sz w:val="18"/>
          <w:szCs w:val="18"/>
        </w:rPr>
        <w:tab/>
      </w:r>
      <w:r w:rsidRPr="000F7AD5">
        <w:rPr>
          <w:sz w:val="18"/>
          <w:szCs w:val="18"/>
        </w:rPr>
        <w:t>CFR = Code of Federal Regulation</w:t>
      </w:r>
    </w:p>
    <w:p w:rsidRPr="000F7AD5" w:rsidR="0054555C" w:rsidP="0054555C" w:rsidRDefault="0054555C" w14:paraId="72B99DA3" w14:textId="64ACD99A">
      <w:pPr>
        <w:tabs>
          <w:tab w:val="left" w:pos="-720"/>
          <w:tab w:val="left" w:pos="69"/>
        </w:tabs>
        <w:suppressAutoHyphens/>
        <w:ind w:left="90" w:right="72" w:hanging="21"/>
        <w:rPr>
          <w:sz w:val="18"/>
          <w:szCs w:val="18"/>
        </w:rPr>
      </w:pPr>
      <w:r w:rsidRPr="00537A48">
        <w:rPr>
          <w:bCs/>
          <w:spacing w:val="-2"/>
          <w:sz w:val="18"/>
          <w:szCs w:val="18"/>
        </w:rPr>
        <w:t>CMR = Code of Massachusetts Regulations</w:t>
      </w:r>
      <w:r w:rsidRPr="0054555C">
        <w:rPr>
          <w:sz w:val="18"/>
          <w:szCs w:val="18"/>
        </w:rPr>
        <w:t xml:space="preserve"> </w:t>
      </w:r>
      <w:r>
        <w:rPr>
          <w:sz w:val="18"/>
          <w:szCs w:val="18"/>
        </w:rPr>
        <w:tab/>
      </w:r>
      <w:r>
        <w:rPr>
          <w:sz w:val="18"/>
          <w:szCs w:val="18"/>
        </w:rPr>
        <w:tab/>
      </w:r>
      <w:r w:rsidRPr="00173A4D">
        <w:rPr>
          <w:sz w:val="18"/>
          <w:szCs w:val="18"/>
        </w:rPr>
        <w:t>U.S.C</w:t>
      </w:r>
      <w:r>
        <w:rPr>
          <w:sz w:val="18"/>
          <w:szCs w:val="18"/>
        </w:rPr>
        <w:t xml:space="preserve"> = United States Code</w:t>
      </w:r>
    </w:p>
    <w:p w:rsidR="000954E8" w:rsidRDefault="000954E8" w14:paraId="51E2E847" w14:textId="77777777">
      <w:pPr>
        <w:rPr>
          <w:rFonts w:eastAsia="Calibri"/>
          <w:b/>
          <w:bCs/>
          <w:sz w:val="28"/>
          <w:szCs w:val="28"/>
          <w:u w:val="single"/>
        </w:rPr>
      </w:pPr>
      <w:r>
        <w:rPr>
          <w:rFonts w:eastAsia="Calibri"/>
          <w:b/>
          <w:bCs/>
          <w:sz w:val="28"/>
          <w:szCs w:val="28"/>
          <w:u w:val="single"/>
        </w:rPr>
        <w:br w:type="page"/>
      </w:r>
    </w:p>
    <w:p w:rsidRPr="000F7AD5" w:rsidR="00280D13" w:rsidP="00B145CC" w:rsidRDefault="00280D13" w14:paraId="5E242AA4" w14:textId="7F11331D">
      <w:pPr>
        <w:keepNext/>
        <w:numPr>
          <w:ilvl w:val="0"/>
          <w:numId w:val="9"/>
        </w:numPr>
        <w:spacing w:line="276" w:lineRule="auto"/>
        <w:ind w:hanging="694"/>
        <w:contextualSpacing/>
        <w:rPr>
          <w:rFonts w:eastAsia="Calibri"/>
          <w:b/>
          <w:bCs/>
          <w:sz w:val="28"/>
          <w:szCs w:val="28"/>
          <w:u w:val="single"/>
        </w:rPr>
      </w:pPr>
      <w:r w:rsidRPr="000F7AD5">
        <w:rPr>
          <w:rFonts w:eastAsia="Calibri"/>
          <w:b/>
          <w:bCs/>
          <w:sz w:val="28"/>
          <w:szCs w:val="28"/>
          <w:u w:val="single"/>
        </w:rPr>
        <w:t>GENERAL CONDITIONS</w:t>
      </w:r>
    </w:p>
    <w:p w:rsidRPr="000F7AD5" w:rsidR="00280D13" w:rsidP="00280D13" w:rsidRDefault="00280D13" w14:paraId="2C84C84B" w14:textId="77777777">
      <w:pPr>
        <w:keepNext/>
      </w:pPr>
    </w:p>
    <w:p w:rsidRPr="000F7AD5" w:rsidR="00280D13" w:rsidP="00280D13" w:rsidRDefault="00280D13" w14:paraId="7D04C29A" w14:textId="77777777">
      <w:r w:rsidRPr="000F7AD5">
        <w:t>The Permittee is subject to, and shall comply with, the following general conditions:</w:t>
      </w:r>
    </w:p>
    <w:p w:rsidRPr="000F7AD5" w:rsidR="00280D13" w:rsidP="00280D13" w:rsidRDefault="00280D13" w14:paraId="3AAA9A96" w14:textId="77777777"/>
    <w:p w:rsidRPr="001C5F38" w:rsidR="001C5F38" w:rsidP="001C5F38" w:rsidRDefault="001C5F38" w14:paraId="2C6390F5" w14:textId="77777777">
      <w:pPr>
        <w:numPr>
          <w:ilvl w:val="0"/>
          <w:numId w:val="2"/>
        </w:numPr>
        <w:rPr>
          <w:rFonts w:eastAsia="Calibri"/>
          <w:szCs w:val="22"/>
        </w:rPr>
      </w:pPr>
      <w:r w:rsidRPr="001C5F38">
        <w:rPr>
          <w:rFonts w:eastAsia="Calibri"/>
          <w:szCs w:val="22"/>
        </w:rPr>
        <w:t>Pursuant to 310 CMR 7.01, 7.02, 7.09 and 7.10, should any nuisance condition(s), including but not limited to smoke, dust, odor or noise, occur as the result of the operation of the Facility, then the Permittee shall immediately take appropriate steps including shutdown, if necessary, to abate said nuisance condition(s).</w:t>
      </w:r>
    </w:p>
    <w:p w:rsidRPr="001C5F38" w:rsidR="001C5F38" w:rsidP="001C5F38" w:rsidRDefault="001C5F38" w14:paraId="02BCC533" w14:textId="77777777">
      <w:pPr>
        <w:rPr>
          <w:rFonts w:eastAsia="Calibri"/>
          <w:szCs w:val="22"/>
        </w:rPr>
      </w:pPr>
    </w:p>
    <w:p w:rsidRPr="001C5F38" w:rsidR="001C5F38" w:rsidP="001C5F38" w:rsidRDefault="001C5F38" w14:paraId="1EE5DFDD" w14:textId="77777777">
      <w:pPr>
        <w:numPr>
          <w:ilvl w:val="0"/>
          <w:numId w:val="2"/>
        </w:numPr>
        <w:rPr>
          <w:rFonts w:eastAsia="Calibri"/>
          <w:szCs w:val="22"/>
        </w:rPr>
      </w:pPr>
      <w:r w:rsidRPr="001C5F38">
        <w:rPr>
          <w:rFonts w:eastAsia="Calibri"/>
          <w:szCs w:val="22"/>
        </w:rPr>
        <w:t xml:space="preserve">If asbestos remediation/removal will occur as a result of the approved construction, reconstruction, or alteration of this Facility, the Permittee shall ensure that all removal/remediation of asbestos shall be done in accordance with 310 CMR 7.15 in its entirety and 310 CMR 4.00.  </w:t>
      </w:r>
    </w:p>
    <w:p w:rsidRPr="001C5F38" w:rsidR="001C5F38" w:rsidP="001C5F38" w:rsidRDefault="001C5F38" w14:paraId="73C9ECD0" w14:textId="77777777">
      <w:pPr>
        <w:rPr>
          <w:rFonts w:eastAsia="Calibri"/>
          <w:szCs w:val="22"/>
        </w:rPr>
      </w:pPr>
    </w:p>
    <w:p w:rsidRPr="001C5F38" w:rsidR="001C5F38" w:rsidP="001C5F38" w:rsidRDefault="001C5F38" w14:paraId="248EDC01" w14:textId="77777777">
      <w:pPr>
        <w:numPr>
          <w:ilvl w:val="0"/>
          <w:numId w:val="2"/>
        </w:numPr>
        <w:rPr>
          <w:rFonts w:eastAsia="Calibri"/>
          <w:szCs w:val="22"/>
        </w:rPr>
      </w:pPr>
      <w:r w:rsidRPr="001C5F38">
        <w:rPr>
          <w:rFonts w:eastAsia="Calibri"/>
          <w:szCs w:val="22"/>
        </w:rPr>
        <w:t>If construction or demolition of an industrial, commercial or institutional building will occur as a result of the approved construction, reconstruction, or alteration of this Facility, the Permittee shall ensure that said construction or demolition shall be done in accordance with 310 CMR 7.09(2) and 310 CMR 4.00.</w:t>
      </w:r>
    </w:p>
    <w:p w:rsidRPr="001C5F38" w:rsidR="001C5F38" w:rsidP="001C5F38" w:rsidRDefault="001C5F38" w14:paraId="179AD055" w14:textId="77777777">
      <w:pPr>
        <w:rPr>
          <w:rFonts w:eastAsia="Calibri"/>
          <w:szCs w:val="22"/>
        </w:rPr>
      </w:pPr>
    </w:p>
    <w:p w:rsidRPr="001C5F38" w:rsidR="001C5F38" w:rsidP="001C5F38" w:rsidRDefault="001C5F38" w14:paraId="293708AC" w14:textId="77777777">
      <w:pPr>
        <w:numPr>
          <w:ilvl w:val="0"/>
          <w:numId w:val="2"/>
        </w:numPr>
        <w:rPr>
          <w:rFonts w:eastAsia="Calibri"/>
          <w:szCs w:val="22"/>
        </w:rPr>
      </w:pPr>
      <w:r w:rsidRPr="001C5F38">
        <w:rPr>
          <w:rFonts w:eastAsia="Calibri"/>
          <w:szCs w:val="22"/>
        </w:rPr>
        <w:t>Pursuant to 310 CMR 7.01(2)(b) and 7.02(7)(b), the Permittee shall allow MassDEP and / or USEPA personnel access to the Facility, buildings, and all pertinent records for the purpose of making inspections and surveys, collecting samples, obtaining data, and reviewing records.</w:t>
      </w:r>
    </w:p>
    <w:p w:rsidRPr="001C5F38" w:rsidR="001C5F38" w:rsidP="001C5F38" w:rsidRDefault="001C5F38" w14:paraId="3F548660" w14:textId="77777777">
      <w:pPr>
        <w:rPr>
          <w:rFonts w:eastAsia="Calibri"/>
          <w:szCs w:val="22"/>
        </w:rPr>
      </w:pPr>
    </w:p>
    <w:p w:rsidRPr="001C5F38" w:rsidR="001C5F38" w:rsidP="001C5F38" w:rsidRDefault="001C5F38" w14:paraId="28B3ED30" w14:textId="77777777">
      <w:pPr>
        <w:numPr>
          <w:ilvl w:val="0"/>
          <w:numId w:val="2"/>
        </w:numPr>
        <w:rPr>
          <w:rFonts w:eastAsia="Calibri"/>
          <w:szCs w:val="22"/>
        </w:rPr>
      </w:pPr>
      <w:r w:rsidRPr="001C5F38">
        <w:rPr>
          <w:rFonts w:eastAsia="Calibri"/>
          <w:szCs w:val="22"/>
        </w:rPr>
        <w:t xml:space="preserve">This Plan Approval does not negate the responsibility of the Permittee to comply with any other applicable Federal, State, or local laws or regulations now or in the future.  </w:t>
      </w:r>
    </w:p>
    <w:p w:rsidRPr="001C5F38" w:rsidR="001C5F38" w:rsidP="001C5F38" w:rsidRDefault="001C5F38" w14:paraId="199F1BE3" w14:textId="77777777">
      <w:pPr>
        <w:rPr>
          <w:rFonts w:eastAsia="Calibri"/>
          <w:szCs w:val="22"/>
        </w:rPr>
      </w:pPr>
    </w:p>
    <w:p w:rsidRPr="001C5F38" w:rsidR="001C5F38" w:rsidP="001C5F38" w:rsidRDefault="001C5F38" w14:paraId="07FD97F4" w14:textId="77777777">
      <w:pPr>
        <w:numPr>
          <w:ilvl w:val="0"/>
          <w:numId w:val="2"/>
        </w:numPr>
        <w:rPr>
          <w:rFonts w:eastAsia="Calibri"/>
          <w:szCs w:val="22"/>
        </w:rPr>
      </w:pPr>
      <w:r w:rsidRPr="001C5F38">
        <w:rPr>
          <w:rFonts w:eastAsia="Calibri"/>
          <w:szCs w:val="22"/>
        </w:rPr>
        <w:t xml:space="preserve">The Application is incorporated into this Plan Approval by reference. Should there be any differences between the Application and this Plan Approval, the Plan Approval shall govern. </w:t>
      </w:r>
    </w:p>
    <w:p w:rsidRPr="001C5F38" w:rsidR="001C5F38" w:rsidP="001C5F38" w:rsidRDefault="001C5F38" w14:paraId="26BB1FDE" w14:textId="77777777">
      <w:pPr>
        <w:rPr>
          <w:rFonts w:eastAsia="Calibri"/>
          <w:szCs w:val="22"/>
        </w:rPr>
      </w:pPr>
    </w:p>
    <w:p w:rsidRPr="001C5F38" w:rsidR="001C5F38" w:rsidP="001C5F38" w:rsidRDefault="001C5F38" w14:paraId="73C25246" w14:textId="77777777">
      <w:pPr>
        <w:numPr>
          <w:ilvl w:val="0"/>
          <w:numId w:val="2"/>
        </w:numPr>
        <w:rPr>
          <w:rFonts w:eastAsia="Calibri"/>
          <w:szCs w:val="22"/>
        </w:rPr>
      </w:pPr>
      <w:r w:rsidRPr="001C5F38">
        <w:rPr>
          <w:rFonts w:eastAsia="Calibri"/>
          <w:szCs w:val="22"/>
        </w:rPr>
        <w:t>Pursuant to 310 CMR 7.02(3)(k), MassDEP may revoke this Plan Approval if the construction work is not commenced within two years from the date of issuance of this Plan Approval, or if the construction work is suspended for one year or more.</w:t>
      </w:r>
    </w:p>
    <w:p w:rsidRPr="001C5F38" w:rsidR="001C5F38" w:rsidP="001C5F38" w:rsidRDefault="001C5F38" w14:paraId="00DB4457" w14:textId="77777777">
      <w:pPr>
        <w:rPr>
          <w:rFonts w:eastAsia="Calibri"/>
          <w:szCs w:val="22"/>
        </w:rPr>
      </w:pPr>
    </w:p>
    <w:p w:rsidRPr="001C5F38" w:rsidR="001C5F38" w:rsidP="001C5F38" w:rsidRDefault="001C5F38" w14:paraId="76D96949" w14:textId="77777777">
      <w:pPr>
        <w:numPr>
          <w:ilvl w:val="0"/>
          <w:numId w:val="2"/>
        </w:numPr>
        <w:rPr>
          <w:rFonts w:eastAsia="Calibri"/>
          <w:szCs w:val="22"/>
        </w:rPr>
      </w:pPr>
      <w:r w:rsidRPr="001C5F38">
        <w:rPr>
          <w:rFonts w:eastAsia="Calibri"/>
          <w:szCs w:val="22"/>
        </w:rPr>
        <w:t>This Plan Approval may be suspended, modified, or revoked by MassDEP if MassDEP determines that any condition or part of this Plan Approval is being violated.</w:t>
      </w:r>
    </w:p>
    <w:p w:rsidRPr="001C5F38" w:rsidR="001C5F38" w:rsidP="001C5F38" w:rsidRDefault="001C5F38" w14:paraId="0DA911C1" w14:textId="77777777">
      <w:pPr>
        <w:rPr>
          <w:rFonts w:eastAsia="Calibri"/>
          <w:szCs w:val="22"/>
        </w:rPr>
      </w:pPr>
    </w:p>
    <w:p w:rsidRPr="001C5F38" w:rsidR="001C5F38" w:rsidP="001C5F38" w:rsidRDefault="001C5F38" w14:paraId="2A1ADE46" w14:textId="77777777">
      <w:pPr>
        <w:numPr>
          <w:ilvl w:val="0"/>
          <w:numId w:val="2"/>
        </w:numPr>
        <w:rPr>
          <w:rFonts w:eastAsia="Calibri"/>
          <w:szCs w:val="22"/>
        </w:rPr>
      </w:pPr>
      <w:r w:rsidRPr="001C5F38">
        <w:rPr>
          <w:rFonts w:eastAsia="Calibri"/>
          <w:szCs w:val="22"/>
        </w:rPr>
        <w:t xml:space="preserve">This Plan Approval may be modified or amended when in the opinion of MassDEP such is necessary or appropriate to clarify the Plan Approval conditions or after consideration of a written request by the Permittee to amend the Plan Approval conditions. </w:t>
      </w:r>
    </w:p>
    <w:p w:rsidRPr="001C5F38" w:rsidR="001C5F38" w:rsidP="001C5F38" w:rsidRDefault="001C5F38" w14:paraId="63CDF001" w14:textId="77777777">
      <w:pPr>
        <w:rPr>
          <w:rFonts w:eastAsia="Calibri"/>
          <w:szCs w:val="22"/>
        </w:rPr>
      </w:pPr>
    </w:p>
    <w:p w:rsidRPr="001C5F38" w:rsidR="001C5F38" w:rsidP="001C5F38" w:rsidRDefault="001C5F38" w14:paraId="6E7D48A0" w14:textId="77777777">
      <w:pPr>
        <w:numPr>
          <w:ilvl w:val="0"/>
          <w:numId w:val="2"/>
        </w:numPr>
        <w:rPr>
          <w:rFonts w:eastAsia="Calibri"/>
          <w:szCs w:val="22"/>
        </w:rPr>
      </w:pPr>
      <w:r w:rsidRPr="001C5F38">
        <w:rPr>
          <w:rFonts w:eastAsia="Calibri"/>
          <w:szCs w:val="22"/>
        </w:rPr>
        <w:t xml:space="preserve">Pursuant to 310 CMR 7.01(3) and 7.02(3)(f), the Permittee shall comply with all conditions contained in this Plan Approval. Should there be any differences between provisions contained in the General Conditions and provisions contained elsewhere in the Plan Approval, the latter shall govern. </w:t>
      </w:r>
    </w:p>
    <w:p w:rsidR="00280D13" w:rsidP="00280D13" w:rsidRDefault="00280D13" w14:paraId="7E474BE9" w14:textId="77777777"/>
    <w:p w:rsidRPr="000F7AD5" w:rsidR="00280D13" w:rsidP="00280D13" w:rsidRDefault="00280D13" w14:paraId="10381F83" w14:textId="77777777"/>
    <w:p w:rsidRPr="000F7AD5" w:rsidR="00280D13" w:rsidP="00B145CC" w:rsidRDefault="00280D13" w14:paraId="541D8D6D" w14:textId="77777777">
      <w:pPr>
        <w:keepNext/>
        <w:numPr>
          <w:ilvl w:val="0"/>
          <w:numId w:val="9"/>
        </w:numPr>
        <w:spacing w:line="276" w:lineRule="auto"/>
        <w:ind w:hanging="720"/>
        <w:contextualSpacing/>
        <w:rPr>
          <w:rFonts w:eastAsia="Calibri"/>
          <w:b/>
          <w:bCs/>
          <w:sz w:val="28"/>
          <w:szCs w:val="28"/>
          <w:u w:val="single"/>
        </w:rPr>
      </w:pPr>
      <w:r w:rsidRPr="000F7AD5">
        <w:rPr>
          <w:rFonts w:eastAsia="Calibri"/>
          <w:b/>
          <w:bCs/>
          <w:sz w:val="28"/>
          <w:szCs w:val="28"/>
          <w:u w:val="single"/>
        </w:rPr>
        <w:t>MASSACHUSETTS ENVIRONMENTAL POLICY ACT</w:t>
      </w:r>
    </w:p>
    <w:p w:rsidRPr="000F7AD5" w:rsidR="00280D13" w:rsidP="00280D13" w:rsidRDefault="00280D13" w14:paraId="0CC76837" w14:textId="77777777">
      <w:pPr>
        <w:keepNext/>
      </w:pPr>
    </w:p>
    <w:p w:rsidRPr="00C95E0B" w:rsidR="00C95E0B" w:rsidP="00C95E0B" w:rsidRDefault="00C95E0B" w14:paraId="7EE99C71" w14:textId="77777777">
      <w:pPr>
        <w:keepNext/>
        <w:spacing w:line="276" w:lineRule="auto"/>
        <w:contextualSpacing/>
        <w:rPr>
          <w:rFonts w:eastAsia="Calibri"/>
          <w:szCs w:val="22"/>
        </w:rPr>
      </w:pPr>
      <w:r w:rsidRPr="00C95E0B">
        <w:rPr>
          <w:rFonts w:eastAsia="Calibri"/>
          <w:szCs w:val="22"/>
        </w:rPr>
        <w:t>MassDEP has determined that the filing of an Environmental Notification Form (ENF) with the Secretary of Energy &amp; Environmental Affairs, for air quality control purposes, was not required prior to this action by MassDEP.  Notwithstanding this determination, the Massachusetts Environmental Policy Act (MEPA) and 301 CMR 11.00, Section 11.04, provide certain “Fail-Safe Provisions,” which allow the Secretary to require the filing of an ENF and/or an Environmental Impact Report (EIR) at a later time.</w:t>
      </w:r>
    </w:p>
    <w:p w:rsidR="00280D13" w:rsidP="00906C46" w:rsidRDefault="00280D13" w14:paraId="673CFF23" w14:textId="77777777">
      <w:pPr>
        <w:keepNext/>
        <w:spacing w:line="276" w:lineRule="auto"/>
        <w:contextualSpacing/>
        <w:rPr>
          <w:rFonts w:eastAsia="Calibri"/>
        </w:rPr>
      </w:pPr>
    </w:p>
    <w:p w:rsidRPr="000F7AD5" w:rsidR="00280D13" w:rsidP="00280D13" w:rsidRDefault="00280D13" w14:paraId="7C431C06" w14:textId="1B34A6A0">
      <w:pPr>
        <w:rPr>
          <w:rFonts w:eastAsia="Calibri"/>
          <w:u w:val="single"/>
        </w:rPr>
      </w:pPr>
    </w:p>
    <w:p w:rsidRPr="000F7AD5" w:rsidR="00280D13" w:rsidP="00B145CC" w:rsidRDefault="00280D13" w14:paraId="35971BF9" w14:textId="77777777">
      <w:pPr>
        <w:keepNext/>
        <w:numPr>
          <w:ilvl w:val="0"/>
          <w:numId w:val="9"/>
        </w:numPr>
        <w:spacing w:line="276" w:lineRule="auto"/>
        <w:ind w:left="720" w:hanging="720"/>
        <w:contextualSpacing/>
        <w:rPr>
          <w:rFonts w:eastAsia="Calibri"/>
          <w:b/>
          <w:bCs/>
          <w:sz w:val="28"/>
          <w:szCs w:val="28"/>
          <w:u w:val="single"/>
        </w:rPr>
      </w:pPr>
      <w:r w:rsidRPr="000F7AD5">
        <w:rPr>
          <w:rFonts w:eastAsia="Calibri"/>
          <w:b/>
          <w:bCs/>
          <w:sz w:val="28"/>
          <w:szCs w:val="28"/>
          <w:u w:val="single"/>
        </w:rPr>
        <w:t>APPEAL OF DECISION</w:t>
      </w:r>
    </w:p>
    <w:p w:rsidRPr="000F7AD5" w:rsidR="00280D13" w:rsidP="00280D13" w:rsidRDefault="00280D13" w14:paraId="0118FACC" w14:textId="77777777">
      <w:pPr>
        <w:keepNext/>
      </w:pPr>
    </w:p>
    <w:p w:rsidRPr="000F7AD5" w:rsidR="005E2285" w:rsidP="005E2285" w:rsidRDefault="005E2285" w14:paraId="632ED8C8" w14:textId="77777777">
      <w:pPr>
        <w:pStyle w:val="BodyText3"/>
        <w:jc w:val="left"/>
      </w:pPr>
      <w:r w:rsidRPr="000F7AD5">
        <w:t>This Decision is an action of MassDEP.  If you are the applicant, an aggrieved person who has submitted written comments, where applicable, or a ten persons group that has submitted written comments, where applicable, you may request an adjudicatory hearing in accordance with 310 CMR 7.51(1).  A request for a hearing must be made in writing and postmarked within twenty-one (21) days of the date of issuance of this Decision.</w:t>
      </w:r>
    </w:p>
    <w:p w:rsidRPr="000F7AD5" w:rsidR="005E2285" w:rsidP="005E2285" w:rsidRDefault="005E2285" w14:paraId="173F4ACC" w14:textId="77777777">
      <w:pPr>
        <w:pStyle w:val="BodyText3"/>
        <w:jc w:val="left"/>
      </w:pPr>
    </w:p>
    <w:p w:rsidRPr="000F7AD5" w:rsidR="005E2285" w:rsidP="005E2285" w:rsidRDefault="005E2285" w14:paraId="72253B4A" w14:textId="77777777">
      <w:pPr>
        <w:rPr>
          <w:color w:val="000000"/>
        </w:rPr>
      </w:pPr>
      <w:r w:rsidRPr="000F7AD5">
        <w:t xml:space="preserve">Under 310 CMR 1.01(6)(b), the request for adjudicatory hearing must state clearly and concisely the facts which are the grounds for the request, and the relief sought.  Additionally, the request must state why the Decision is not consistent with applicable laws and regulations.  In the request, an aggrieved person must state with specificity the basis of his or her claim of aggrievement.  A ten persons group that files a request for an adjudicatory hearing must include affidavits from each person of the group stating their intent to be a part of the group and to be represented by the group’s authorized representative.  </w:t>
      </w:r>
      <w:r w:rsidRPr="000F7AD5">
        <w:rPr>
          <w:color w:val="000000"/>
        </w:rPr>
        <w:t>The request must comply with all other requirements of 310 CMR 1.01.</w:t>
      </w:r>
    </w:p>
    <w:p w:rsidRPr="000F7AD5" w:rsidR="005E2285" w:rsidP="005E2285" w:rsidRDefault="005E2285" w14:paraId="19607527" w14:textId="77777777">
      <w:pPr>
        <w:pStyle w:val="BodyText3"/>
        <w:jc w:val="left"/>
      </w:pPr>
    </w:p>
    <w:p w:rsidRPr="000F7AD5" w:rsidR="005E2285" w:rsidP="005E2285" w:rsidRDefault="005E2285" w14:paraId="247B28F8" w14:textId="77777777">
      <w:pPr>
        <w:pStyle w:val="BodyText3"/>
        <w:jc w:val="left"/>
      </w:pPr>
      <w:r w:rsidRPr="000F7AD5">
        <w:t xml:space="preserve">The issues raised in the request for adjudicatory hearing are limited to the subject matter of this Decision and are limited further to the issues raised during the public comment period.  If the issue was not raised during the public comment period, the issue may be raised upon showing that it was not reasonably possible with due diligence to have raised such matter during the public comment period or for good cause shown. </w:t>
      </w:r>
    </w:p>
    <w:p w:rsidRPr="000F7AD5" w:rsidR="005E2285" w:rsidP="005E2285" w:rsidRDefault="005E2285" w14:paraId="23DF76BB" w14:textId="77777777">
      <w:pPr>
        <w:pStyle w:val="BodyText3"/>
        <w:jc w:val="left"/>
      </w:pPr>
    </w:p>
    <w:p w:rsidRPr="000F7AD5" w:rsidR="005E2285" w:rsidP="005E2285" w:rsidRDefault="005E2285" w14:paraId="4EDAA618" w14:textId="77777777">
      <w:pPr>
        <w:pStyle w:val="BodyText3"/>
        <w:jc w:val="left"/>
      </w:pPr>
      <w:r w:rsidRPr="000F7AD5">
        <w:t xml:space="preserve">The hearing request along with a valid check payable to Commonwealth of Massachusetts in the amount of one hundred dollars ($100.00) and a completed Adjudicatory Hearing Fee Transmittal Form found at </w:t>
      </w:r>
      <w:hyperlink w:history="1" r:id="rId23">
        <w:r w:rsidRPr="000F7AD5">
          <w:rPr>
            <w:rStyle w:val="Hyperlink"/>
          </w:rPr>
          <w:t>https://www.mass.gov/doc/adjudicatory-hearing-fee-transmittal-form/download</w:t>
        </w:r>
      </w:hyperlink>
      <w:r w:rsidRPr="000F7AD5">
        <w:t xml:space="preserve"> must be mailed to:</w:t>
      </w:r>
    </w:p>
    <w:p w:rsidRPr="000F7AD5" w:rsidR="005E2285" w:rsidP="005E2285" w:rsidRDefault="005E2285" w14:paraId="3522CF78" w14:textId="77777777">
      <w:pPr>
        <w:pStyle w:val="BodyText3"/>
        <w:jc w:val="center"/>
      </w:pPr>
    </w:p>
    <w:p w:rsidRPr="000F7AD5" w:rsidR="005E2285" w:rsidP="005E2285" w:rsidRDefault="005E2285" w14:paraId="137E05E3" w14:textId="77777777">
      <w:pPr>
        <w:pStyle w:val="BodyText3"/>
        <w:jc w:val="center"/>
      </w:pPr>
      <w:r w:rsidRPr="000F7AD5">
        <w:t>Commonwealth of Massachusetts</w:t>
      </w:r>
    </w:p>
    <w:p w:rsidRPr="000F7AD5" w:rsidR="005E2285" w:rsidP="005E2285" w:rsidRDefault="005E2285" w14:paraId="64B4A064" w14:textId="77777777">
      <w:pPr>
        <w:pStyle w:val="BodyText3"/>
        <w:jc w:val="center"/>
      </w:pPr>
      <w:r w:rsidRPr="000F7AD5">
        <w:t>Department of Environmental Protection</w:t>
      </w:r>
    </w:p>
    <w:p w:rsidRPr="000F7AD5" w:rsidR="005E2285" w:rsidP="005E2285" w:rsidRDefault="005E2285" w14:paraId="007A0EBF" w14:textId="77777777">
      <w:pPr>
        <w:pStyle w:val="BodyText3"/>
        <w:jc w:val="center"/>
      </w:pPr>
      <w:r w:rsidRPr="000F7AD5">
        <w:t>P.O. Box 4062</w:t>
      </w:r>
    </w:p>
    <w:p w:rsidRPr="000F7AD5" w:rsidR="005E2285" w:rsidP="005E2285" w:rsidRDefault="005E2285" w14:paraId="659476DF" w14:textId="77777777">
      <w:pPr>
        <w:pStyle w:val="BodyText3"/>
        <w:jc w:val="center"/>
      </w:pPr>
      <w:r w:rsidRPr="000F7AD5">
        <w:t>Boston, MA  02211</w:t>
      </w:r>
    </w:p>
    <w:p w:rsidRPr="000F7AD5" w:rsidR="005E2285" w:rsidP="005E2285" w:rsidRDefault="005E2285" w14:paraId="0BA13FC7" w14:textId="77777777">
      <w:pPr>
        <w:pStyle w:val="BodyText3"/>
        <w:jc w:val="left"/>
      </w:pPr>
    </w:p>
    <w:p w:rsidRPr="000F7AD5" w:rsidR="005E2285" w:rsidP="005E2285" w:rsidRDefault="005E2285" w14:paraId="44187069" w14:textId="77777777">
      <w:pPr>
        <w:pStyle w:val="BodyText3"/>
        <w:jc w:val="left"/>
      </w:pPr>
      <w:r w:rsidRPr="000F7AD5">
        <w:t>An aggrieved person or a ten persons group shall send a copy of the request for an adjudicatory hearing by first class mail to the Applicant and MassDEP’s contact person listed in the Decision.</w:t>
      </w:r>
    </w:p>
    <w:p w:rsidRPr="000F7AD5" w:rsidR="005E2285" w:rsidP="005E2285" w:rsidRDefault="005E2285" w14:paraId="789D520B" w14:textId="77777777">
      <w:pPr>
        <w:pStyle w:val="BodyText3"/>
        <w:jc w:val="left"/>
      </w:pPr>
    </w:p>
    <w:p w:rsidRPr="000F7AD5" w:rsidR="005E2285" w:rsidP="005E2285" w:rsidRDefault="005E2285" w14:paraId="46617166" w14:textId="77777777">
      <w:pPr>
        <w:pStyle w:val="BodyText3"/>
        <w:jc w:val="left"/>
      </w:pPr>
      <w:r w:rsidRPr="000F7AD5">
        <w:t>The request will be dismissed if the filing fee is not paid, unless the appellant is exempt or granted a waiver as described below.</w:t>
      </w:r>
    </w:p>
    <w:p w:rsidRPr="000F7AD5" w:rsidR="005E2285" w:rsidP="005E2285" w:rsidRDefault="005E2285" w14:paraId="23482435" w14:textId="77777777">
      <w:pPr>
        <w:pStyle w:val="BodyText3"/>
        <w:jc w:val="left"/>
      </w:pPr>
    </w:p>
    <w:p w:rsidRPr="000F7AD5" w:rsidR="005E2285" w:rsidP="005E2285" w:rsidRDefault="005E2285" w14:paraId="21A1CA0A" w14:textId="77777777">
      <w:pPr>
        <w:pStyle w:val="BodyTextIndent"/>
        <w:tabs>
          <w:tab w:val="left" w:pos="0"/>
        </w:tabs>
        <w:ind w:left="0"/>
      </w:pPr>
      <w:r w:rsidRPr="000F7AD5">
        <w:t>The filing fee is not required if the appellant is a city or town (or municipal agency), county, district of the Commonwealth of Massachusetts, the Massachusetts Bay Transportation Authority, federally recognized Indian tribe housing authority, effective January 14, 1994, or a municipal housing authority.  MassDEP may waive the adjudicatory hearing filing fee for a person who shows that paying the fee will create an undue financial hardship.  A person seeking a waiver must file, together with the hearing request as provided above, a request for the waiver of the fee and an affidavit setting forth the facts believed to support the claim of undue financial hardship as specified in 310 CMR 4.06(2).</w:t>
      </w:r>
    </w:p>
    <w:p w:rsidRPr="000F7AD5" w:rsidR="00280D13" w:rsidP="00280D13" w:rsidRDefault="00280D13" w14:paraId="60D25C24" w14:textId="77777777">
      <w:pPr>
        <w:tabs>
          <w:tab w:val="left" w:pos="5580"/>
        </w:tabs>
      </w:pPr>
    </w:p>
    <w:p w:rsidRPr="000F7AD5" w:rsidR="000F7AD5" w:rsidP="000F7AD5" w:rsidRDefault="000F7AD5" w14:paraId="4C5349EE" w14:textId="77777777">
      <w:pPr>
        <w:tabs>
          <w:tab w:val="left" w:pos="5580"/>
        </w:tabs>
      </w:pPr>
      <w:r w:rsidRPr="000F7AD5">
        <w:t>Should you have any questions concerning this Plan Approval, please contact Flavia Jacobs by telephone at 978-857-2922, or in writing at the letterhead address.</w:t>
      </w:r>
    </w:p>
    <w:p w:rsidRPr="000F7AD5" w:rsidR="000F7AD5" w:rsidP="00280D13" w:rsidRDefault="000F7AD5" w14:paraId="748E3607" w14:textId="77777777">
      <w:pPr>
        <w:tabs>
          <w:tab w:val="left" w:pos="5580"/>
        </w:tabs>
      </w:pPr>
    </w:p>
    <w:p w:rsidRPr="000F7AD5" w:rsidR="00280D13" w:rsidP="00280D13" w:rsidRDefault="00280D13" w14:paraId="0125B57C" w14:textId="77777777">
      <w:pPr>
        <w:tabs>
          <w:tab w:val="left" w:pos="5580"/>
        </w:tabs>
      </w:pPr>
    </w:p>
    <w:p w:rsidRPr="000F7AD5" w:rsidR="00280D13" w:rsidP="00280D13" w:rsidRDefault="00280D13" w14:paraId="64B490F8" w14:textId="75A50175">
      <w:pPr>
        <w:tabs>
          <w:tab w:val="left" w:pos="5580"/>
        </w:tabs>
      </w:pPr>
      <w:r w:rsidRPr="000F7AD5">
        <w:t>Sincerely,</w:t>
      </w:r>
    </w:p>
    <w:p w:rsidRPr="000F7AD5" w:rsidR="008A6F8A" w:rsidP="00280D13" w:rsidRDefault="008A6F8A" w14:paraId="5635DF43" w14:textId="6BC2ED9F">
      <w:pPr>
        <w:tabs>
          <w:tab w:val="left" w:pos="5580"/>
        </w:tabs>
      </w:pPr>
    </w:p>
    <w:p w:rsidRPr="000F7AD5" w:rsidR="008A6F8A" w:rsidP="00280D13" w:rsidRDefault="008A6F8A" w14:paraId="3022D643" w14:textId="43829897">
      <w:pPr>
        <w:tabs>
          <w:tab w:val="left" w:pos="5580"/>
        </w:tabs>
      </w:pPr>
    </w:p>
    <w:p w:rsidRPr="000F7AD5" w:rsidR="008A6F8A" w:rsidP="00280D13" w:rsidRDefault="008A6F8A" w14:paraId="0424A0F1" w14:textId="0C3EE6FD">
      <w:pPr>
        <w:tabs>
          <w:tab w:val="left" w:pos="5580"/>
        </w:tabs>
      </w:pPr>
    </w:p>
    <w:p w:rsidRPr="000F7AD5" w:rsidR="008A6F8A" w:rsidP="008A6F8A" w:rsidRDefault="008A6F8A" w14:paraId="728E8EF5" w14:textId="3CBA66DC">
      <w:pPr>
        <w:tabs>
          <w:tab w:val="left" w:pos="5580"/>
        </w:tabs>
      </w:pPr>
      <w:r w:rsidRPr="000F7AD5">
        <w:tab/>
      </w:r>
    </w:p>
    <w:p w:rsidRPr="000F7AD5" w:rsidR="00547DDE" w:rsidP="008A6F8A" w:rsidRDefault="00547DDE" w14:paraId="5608DFFC" w14:textId="77777777">
      <w:pPr>
        <w:tabs>
          <w:tab w:val="left" w:pos="5580"/>
        </w:tabs>
      </w:pPr>
    </w:p>
    <w:p w:rsidRPr="000F7AD5" w:rsidR="008A6F8A" w:rsidP="008A6F8A" w:rsidRDefault="008A6F8A" w14:paraId="620F32E8" w14:textId="77777777">
      <w:pPr>
        <w:tabs>
          <w:tab w:val="left" w:pos="5580"/>
        </w:tabs>
      </w:pPr>
    </w:p>
    <w:tbl>
      <w:tblPr>
        <w:tblStyle w:val="TableGrid"/>
        <w:tblW w:w="9014" w:type="dxa"/>
        <w:jc w:val="center"/>
        <w:tblBorders>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3337"/>
        <w:gridCol w:w="2257"/>
        <w:gridCol w:w="3420"/>
      </w:tblGrid>
      <w:tr w:rsidRPr="000F7AD5" w:rsidR="008A6F8A" w:rsidTr="00EC65E2" w14:paraId="5CEFE76C" w14:textId="77777777">
        <w:trPr>
          <w:jc w:val="center"/>
        </w:trPr>
        <w:tc>
          <w:tcPr>
            <w:tcW w:w="3337" w:type="dxa"/>
            <w:tcBorders>
              <w:top w:val="single" w:color="auto" w:sz="4" w:space="0"/>
            </w:tcBorders>
          </w:tcPr>
          <w:p w:rsidRPr="000F7AD5" w:rsidR="008A6F8A" w:rsidP="008A6F8A" w:rsidRDefault="008A6F8A" w14:paraId="7C20C951" w14:textId="77777777">
            <w:pPr>
              <w:tabs>
                <w:tab w:val="left" w:pos="5580"/>
              </w:tabs>
            </w:pPr>
            <w:r w:rsidRPr="000F7AD5">
              <w:t>Flavia Paolucci Jacobs</w:t>
            </w:r>
          </w:p>
          <w:p w:rsidRPr="000F7AD5" w:rsidR="008A6F8A" w:rsidP="008A6F8A" w:rsidRDefault="005E2285" w14:paraId="10D81CDE" w14:textId="11505BC5">
            <w:pPr>
              <w:tabs>
                <w:tab w:val="left" w:pos="5580"/>
              </w:tabs>
            </w:pPr>
            <w:r w:rsidRPr="000F7AD5">
              <w:t xml:space="preserve">Permit Writer </w:t>
            </w:r>
          </w:p>
        </w:tc>
        <w:tc>
          <w:tcPr>
            <w:tcW w:w="2257" w:type="dxa"/>
            <w:tcBorders>
              <w:top w:val="nil"/>
            </w:tcBorders>
          </w:tcPr>
          <w:p w:rsidRPr="000F7AD5" w:rsidR="008A6F8A" w:rsidP="008A6F8A" w:rsidRDefault="008A6F8A" w14:paraId="4DD82E9D" w14:textId="77777777">
            <w:pPr>
              <w:tabs>
                <w:tab w:val="left" w:pos="5580"/>
              </w:tabs>
            </w:pPr>
          </w:p>
        </w:tc>
        <w:tc>
          <w:tcPr>
            <w:tcW w:w="3420" w:type="dxa"/>
          </w:tcPr>
          <w:p w:rsidRPr="000F7AD5" w:rsidR="008A6F8A" w:rsidP="008A6F8A" w:rsidRDefault="008A6F8A" w14:paraId="79811F30" w14:textId="77777777">
            <w:pPr>
              <w:tabs>
                <w:tab w:val="left" w:pos="5580"/>
              </w:tabs>
            </w:pPr>
            <w:r w:rsidRPr="000F7AD5">
              <w:t>Edward J. Braczyk</w:t>
            </w:r>
          </w:p>
          <w:p w:rsidRPr="000F7AD5" w:rsidR="008A6F8A" w:rsidP="008A6F8A" w:rsidRDefault="008A6F8A" w14:paraId="699672B1" w14:textId="77777777">
            <w:pPr>
              <w:tabs>
                <w:tab w:val="left" w:pos="5580"/>
              </w:tabs>
            </w:pPr>
            <w:r w:rsidRPr="000F7AD5">
              <w:t>Permit Chief</w:t>
            </w:r>
          </w:p>
          <w:p w:rsidRPr="000F7AD5" w:rsidR="008A6F8A" w:rsidP="008A6F8A" w:rsidRDefault="008A6F8A" w14:paraId="4BBACCB0" w14:textId="77777777">
            <w:pPr>
              <w:tabs>
                <w:tab w:val="left" w:pos="5580"/>
              </w:tabs>
            </w:pPr>
            <w:r w:rsidRPr="000F7AD5">
              <w:t>Bureau of Air and Waste</w:t>
            </w:r>
          </w:p>
          <w:p w:rsidRPr="000F7AD5" w:rsidR="008A6F8A" w:rsidP="008A6F8A" w:rsidRDefault="008A6F8A" w14:paraId="584B545A" w14:textId="77777777">
            <w:pPr>
              <w:tabs>
                <w:tab w:val="left" w:pos="5580"/>
              </w:tabs>
            </w:pPr>
          </w:p>
        </w:tc>
      </w:tr>
    </w:tbl>
    <w:p w:rsidR="007613AD" w:rsidP="009801D5" w:rsidRDefault="007613AD" w14:paraId="779F57D5" w14:textId="77777777">
      <w:pPr>
        <w:tabs>
          <w:tab w:val="left" w:pos="5580"/>
        </w:tabs>
      </w:pPr>
    </w:p>
    <w:p w:rsidR="006A4576" w:rsidP="009801D5" w:rsidRDefault="006A4576" w14:paraId="36D8269D" w14:textId="77777777">
      <w:pPr>
        <w:tabs>
          <w:tab w:val="left" w:pos="5580"/>
        </w:tabs>
      </w:pPr>
    </w:p>
    <w:p w:rsidRPr="000F7AD5" w:rsidR="006A4576" w:rsidP="009801D5" w:rsidRDefault="006A4576" w14:paraId="4CF2F43F" w14:textId="77777777">
      <w:pPr>
        <w:tabs>
          <w:tab w:val="left" w:pos="5580"/>
        </w:tabs>
      </w:pPr>
    </w:p>
    <w:p w:rsidR="00EB7F93" w:rsidRDefault="000E549E" w14:paraId="71DDD9D1" w14:textId="48B36FEB">
      <w:pPr>
        <w:jc w:val="both"/>
        <w:rPr>
          <w:spacing w:val="-2"/>
          <w:sz w:val="20"/>
        </w:rPr>
      </w:pPr>
      <w:r w:rsidRPr="000F7AD5">
        <w:rPr>
          <w:spacing w:val="-2"/>
          <w:sz w:val="20"/>
        </w:rPr>
        <w:t>ec</w:t>
      </w:r>
      <w:r w:rsidRPr="000F7AD5" w:rsidR="00924460">
        <w:rPr>
          <w:spacing w:val="-2"/>
          <w:sz w:val="20"/>
        </w:rPr>
        <w:t>c</w:t>
      </w:r>
      <w:r w:rsidRPr="000F7AD5" w:rsidR="00E248B6">
        <w:rPr>
          <w:spacing w:val="-2"/>
          <w:sz w:val="20"/>
        </w:rPr>
        <w:t>s</w:t>
      </w:r>
      <w:r w:rsidRPr="000F7AD5" w:rsidR="00924460">
        <w:rPr>
          <w:spacing w:val="-2"/>
          <w:sz w:val="20"/>
        </w:rPr>
        <w:t>:</w:t>
      </w:r>
      <w:r w:rsidRPr="000F7AD5" w:rsidR="00924460">
        <w:rPr>
          <w:spacing w:val="-2"/>
          <w:sz w:val="20"/>
        </w:rPr>
        <w:tab/>
      </w:r>
      <w:r w:rsidR="00BD2277">
        <w:rPr>
          <w:spacing w:val="-2"/>
          <w:sz w:val="20"/>
        </w:rPr>
        <w:t xml:space="preserve">P&amp;G </w:t>
      </w:r>
      <w:r w:rsidR="00EB7F93">
        <w:rPr>
          <w:spacing w:val="-2"/>
          <w:sz w:val="20"/>
        </w:rPr>
        <w:t>Gillette (</w:t>
      </w:r>
      <w:r w:rsidR="00BD2277">
        <w:rPr>
          <w:spacing w:val="-2"/>
          <w:sz w:val="20"/>
        </w:rPr>
        <w:t xml:space="preserve">Andover) - </w:t>
      </w:r>
      <w:r w:rsidR="007A3015">
        <w:rPr>
          <w:spacing w:val="-2"/>
          <w:sz w:val="20"/>
        </w:rPr>
        <w:t xml:space="preserve">Ms. </w:t>
      </w:r>
      <w:r w:rsidRPr="007A3015" w:rsidR="007A3015">
        <w:rPr>
          <w:spacing w:val="-2"/>
          <w:sz w:val="20"/>
        </w:rPr>
        <w:t>Yleana</w:t>
      </w:r>
      <w:r w:rsidR="007A3015">
        <w:rPr>
          <w:spacing w:val="-2"/>
          <w:sz w:val="20"/>
        </w:rPr>
        <w:t xml:space="preserve"> Campos Cuevas</w:t>
      </w:r>
      <w:r w:rsidR="00A9031A">
        <w:rPr>
          <w:spacing w:val="-2"/>
          <w:sz w:val="20"/>
        </w:rPr>
        <w:t xml:space="preserve">, Mr. Drew </w:t>
      </w:r>
      <w:r w:rsidR="0094503A">
        <w:rPr>
          <w:spacing w:val="-2"/>
          <w:sz w:val="20"/>
        </w:rPr>
        <w:t>Hadley (PG Consultant)</w:t>
      </w:r>
    </w:p>
    <w:p w:rsidRPr="000F7AD5" w:rsidR="00924460" w:rsidRDefault="00104112" w14:paraId="779F57E6" w14:textId="6C354D43">
      <w:pPr>
        <w:jc w:val="both"/>
        <w:rPr>
          <w:spacing w:val="-2"/>
          <w:sz w:val="20"/>
        </w:rPr>
      </w:pPr>
      <w:r w:rsidRPr="000F7AD5">
        <w:rPr>
          <w:spacing w:val="-2"/>
          <w:sz w:val="20"/>
        </w:rPr>
        <w:tab/>
        <w:t>MassDEP/Boston - Yi</w:t>
      </w:r>
      <w:r w:rsidRPr="000F7AD5" w:rsidR="002E10BA">
        <w:rPr>
          <w:spacing w:val="-2"/>
          <w:sz w:val="20"/>
        </w:rPr>
        <w:t xml:space="preserve"> Tian</w:t>
      </w:r>
    </w:p>
    <w:p w:rsidR="00094361" w:rsidP="00094361" w:rsidRDefault="00094361" w14:paraId="53E1F72E" w14:textId="431851E5">
      <w:pPr>
        <w:ind w:firstLine="720"/>
        <w:jc w:val="both"/>
        <w:rPr>
          <w:spacing w:val="-2"/>
          <w:sz w:val="20"/>
        </w:rPr>
      </w:pPr>
      <w:r w:rsidRPr="000F7AD5">
        <w:rPr>
          <w:spacing w:val="-2"/>
          <w:sz w:val="20"/>
        </w:rPr>
        <w:t xml:space="preserve">MassDEP/NERO </w:t>
      </w:r>
      <w:r w:rsidR="00EF5374">
        <w:rPr>
          <w:spacing w:val="-2"/>
          <w:sz w:val="20"/>
        </w:rPr>
        <w:t>-</w:t>
      </w:r>
      <w:r w:rsidRPr="000F7AD5">
        <w:rPr>
          <w:spacing w:val="-2"/>
          <w:sz w:val="20"/>
        </w:rPr>
        <w:t xml:space="preserve"> John Mac</w:t>
      </w:r>
      <w:r w:rsidR="00720B38">
        <w:rPr>
          <w:spacing w:val="-2"/>
          <w:sz w:val="20"/>
        </w:rPr>
        <w:t>A</w:t>
      </w:r>
      <w:r w:rsidRPr="000F7AD5">
        <w:rPr>
          <w:spacing w:val="-2"/>
          <w:sz w:val="20"/>
        </w:rPr>
        <w:t xml:space="preserve">uley, </w:t>
      </w:r>
      <w:r w:rsidR="00F73CD4">
        <w:rPr>
          <w:spacing w:val="-2"/>
          <w:sz w:val="20"/>
        </w:rPr>
        <w:t xml:space="preserve">Scott Fasulo, Quan Tat, </w:t>
      </w:r>
      <w:r w:rsidRPr="000F7AD5" w:rsidR="00D760D4">
        <w:rPr>
          <w:spacing w:val="-2"/>
          <w:sz w:val="20"/>
        </w:rPr>
        <w:t>Mun Wong</w:t>
      </w:r>
    </w:p>
    <w:p w:rsidR="007A3015" w:rsidP="00413437" w:rsidRDefault="00EF5374" w14:paraId="22F84CC3" w14:textId="237E29CB">
      <w:pPr>
        <w:ind w:firstLine="720"/>
        <w:jc w:val="both"/>
        <w:rPr>
          <w:spacing w:val="-2"/>
          <w:sz w:val="20"/>
        </w:rPr>
      </w:pPr>
      <w:r w:rsidRPr="00EF5374">
        <w:rPr>
          <w:spacing w:val="-2"/>
          <w:sz w:val="20"/>
        </w:rPr>
        <w:t>Epsilon Associates</w:t>
      </w:r>
      <w:r>
        <w:rPr>
          <w:spacing w:val="-2"/>
          <w:sz w:val="20"/>
        </w:rPr>
        <w:t xml:space="preserve"> </w:t>
      </w:r>
      <w:r w:rsidR="00DF6455">
        <w:rPr>
          <w:spacing w:val="-2"/>
          <w:sz w:val="20"/>
        </w:rPr>
        <w:t>–</w:t>
      </w:r>
      <w:r>
        <w:rPr>
          <w:spacing w:val="-2"/>
          <w:sz w:val="20"/>
        </w:rPr>
        <w:t xml:space="preserve"> </w:t>
      </w:r>
      <w:r w:rsidR="007A3015">
        <w:rPr>
          <w:spacing w:val="-2"/>
          <w:sz w:val="20"/>
        </w:rPr>
        <w:t xml:space="preserve">Mr. </w:t>
      </w:r>
      <w:r w:rsidR="00DF6455">
        <w:rPr>
          <w:spacing w:val="-2"/>
          <w:sz w:val="20"/>
        </w:rPr>
        <w:t>A</w:t>
      </w:r>
      <w:r w:rsidR="00F91345">
        <w:rPr>
          <w:spacing w:val="-2"/>
          <w:sz w:val="20"/>
        </w:rPr>
        <w:t>.J.</w:t>
      </w:r>
      <w:r w:rsidR="00DF6455">
        <w:rPr>
          <w:spacing w:val="-2"/>
          <w:sz w:val="20"/>
        </w:rPr>
        <w:t xml:space="preserve"> Jablonowski, PE, </w:t>
      </w:r>
      <w:r w:rsidR="007A3015">
        <w:rPr>
          <w:spacing w:val="-2"/>
          <w:sz w:val="20"/>
        </w:rPr>
        <w:t xml:space="preserve">Ms. </w:t>
      </w:r>
      <w:r w:rsidR="00EB7F93">
        <w:rPr>
          <w:spacing w:val="-2"/>
          <w:sz w:val="20"/>
        </w:rPr>
        <w:t>Katerina Matjucha</w:t>
      </w:r>
    </w:p>
    <w:p w:rsidRPr="007A3015" w:rsidR="007A3015" w:rsidP="007A3015" w:rsidRDefault="007A3015" w14:paraId="58CECB29" w14:textId="77777777">
      <w:pPr>
        <w:ind w:firstLine="720"/>
        <w:jc w:val="both"/>
        <w:rPr>
          <w:spacing w:val="-2"/>
          <w:sz w:val="20"/>
        </w:rPr>
      </w:pPr>
      <w:r w:rsidRPr="007A3015">
        <w:rPr>
          <w:spacing w:val="-2"/>
          <w:sz w:val="20"/>
        </w:rPr>
        <w:t>Andover Board of Health</w:t>
      </w:r>
    </w:p>
    <w:p w:rsidRPr="00AD3B80" w:rsidR="00E95510" w:rsidP="007A3015" w:rsidRDefault="007A3015" w14:paraId="779F57E8" w14:textId="69CF4D86">
      <w:pPr>
        <w:ind w:firstLine="720"/>
        <w:jc w:val="both"/>
        <w:rPr>
          <w:i/>
          <w:sz w:val="18"/>
          <w:szCs w:val="18"/>
        </w:rPr>
      </w:pPr>
      <w:r w:rsidRPr="007A3015">
        <w:rPr>
          <w:spacing w:val="-2"/>
          <w:sz w:val="20"/>
        </w:rPr>
        <w:t>Andover Fire Department</w:t>
      </w:r>
      <w:r w:rsidRPr="000F7AD5" w:rsidR="00AF4F63">
        <w:rPr>
          <w:spacing w:val="-2"/>
          <w:sz w:val="20"/>
        </w:rPr>
        <w:tab/>
      </w:r>
      <w:r w:rsidRPr="000F7AD5" w:rsidR="00924460">
        <w:rPr>
          <w:spacing w:val="-2"/>
          <w:sz w:val="20"/>
        </w:rPr>
        <w:tab/>
      </w:r>
    </w:p>
    <w:sectPr w:rsidRPr="00AD3B80" w:rsidR="00E95510" w:rsidSect="00777A08">
      <w:footerReference w:type="default" r:id="rId24"/>
      <w:type w:val="continuous"/>
      <w:pgSz w:w="12240" w:h="15840" w:code="1"/>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0F7AD5" w:rsidR="00806240" w:rsidRDefault="00806240" w14:paraId="5072AAFB" w14:textId="77777777">
      <w:r w:rsidRPr="000F7AD5">
        <w:separator/>
      </w:r>
    </w:p>
  </w:endnote>
  <w:endnote w:type="continuationSeparator" w:id="0">
    <w:p w:rsidRPr="000F7AD5" w:rsidR="00806240" w:rsidRDefault="00806240" w14:paraId="21710E89" w14:textId="77777777">
      <w:r w:rsidRPr="000F7A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08D1" w:rsidP="008308D1" w:rsidRDefault="008308D1" w14:paraId="4E111AF6" w14:textId="0469EC06">
    <w:pPr>
      <w:pStyle w:val="GTDocID"/>
    </w:pPr>
    <w:fldSimple w:instr=" DOCPROPERTY DOCXDOCID DMS=InterwovenIManage Format=&lt;&lt;LIB&gt;&gt; &lt;&lt;NUM&gt;&gt;v&lt;&lt;VER&gt;&gt; PRESERVELOCATION \* MERGEFORMAT ">
      <w:r>
        <w:t>ACTIVE 699160815v1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08D1" w:rsidP="008308D1" w:rsidRDefault="008308D1" w14:paraId="2DBCF5A3" w14:textId="7FA96A12">
    <w:pPr>
      <w:pStyle w:val="GTDocID"/>
    </w:pPr>
    <w:fldSimple w:instr=" DOCPROPERTY DOCXDOCID DMS=InterwovenIManage Format=&lt;&lt;LIB&gt;&gt; &lt;&lt;NUM&gt;&gt;v&lt;&lt;VER&gt;&gt; PRESERVELOCATION \* MERGEFORMAT ">
      <w:r>
        <w:t>ACTIVE 699160815v1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20" w:type="dxa"/>
      <w:jc w:val="center"/>
      <w:tblLayout w:type="fixed"/>
      <w:tblLook w:val="0000" w:firstRow="0" w:lastRow="0" w:firstColumn="0" w:lastColumn="0" w:noHBand="0" w:noVBand="0"/>
    </w:tblPr>
    <w:tblGrid>
      <w:gridCol w:w="11520"/>
    </w:tblGrid>
    <w:tr w:rsidRPr="000F7AD5" w:rsidR="00090435" w:rsidTr="00D227AE" w14:paraId="779F580D" w14:textId="77777777">
      <w:trPr>
        <w:trHeight w:val="363"/>
        <w:jc w:val="center"/>
      </w:trPr>
      <w:tc>
        <w:tcPr>
          <w:tcW w:w="11520" w:type="dxa"/>
          <w:vAlign w:val="bottom"/>
        </w:tcPr>
        <w:p w:rsidRPr="000F7AD5" w:rsidR="00090435" w:rsidP="00D227AE" w:rsidRDefault="00090435" w14:paraId="779F580A" w14:textId="6C2F4FBE">
          <w:pPr>
            <w:ind w:left="72" w:right="162"/>
            <w:jc w:val="center"/>
            <w:rPr>
              <w:rFonts w:ascii="Arial" w:hAnsi="Arial"/>
              <w:b/>
              <w:color w:val="008000"/>
              <w:sz w:val="14"/>
            </w:rPr>
          </w:pPr>
          <w:r w:rsidRPr="000F7AD5">
            <w:rPr>
              <w:rFonts w:ascii="Arial" w:hAnsi="Arial"/>
              <w:b/>
              <w:color w:val="008000"/>
              <w:sz w:val="14"/>
            </w:rPr>
            <w:t xml:space="preserve">This information is available in alternate format. </w:t>
          </w:r>
          <w:r w:rsidRPr="000F7AD5" w:rsidR="00B259FA">
            <w:rPr>
              <w:rFonts w:ascii="Arial" w:hAnsi="Arial"/>
              <w:b/>
              <w:color w:val="008000"/>
              <w:sz w:val="14"/>
            </w:rPr>
            <w:t>Please contact Melixza Esenyie at 617-626-1282.</w:t>
          </w:r>
        </w:p>
        <w:p w:rsidRPr="000F7AD5" w:rsidR="00090435" w:rsidP="00D227AE" w:rsidRDefault="00090435" w14:paraId="779F580B" w14:textId="77777777">
          <w:pPr>
            <w:ind w:left="72" w:right="162"/>
            <w:jc w:val="center"/>
            <w:rPr>
              <w:rFonts w:ascii="Arial" w:hAnsi="Arial"/>
              <w:b/>
              <w:color w:val="008000"/>
              <w:sz w:val="14"/>
            </w:rPr>
          </w:pPr>
          <w:r w:rsidRPr="000F7AD5">
            <w:rPr>
              <w:rFonts w:ascii="Arial" w:hAnsi="Arial"/>
              <w:b/>
              <w:color w:val="008000"/>
              <w:sz w:val="14"/>
            </w:rPr>
            <w:t>TTY# MassRelay Service 1-800-439-2370</w:t>
          </w:r>
        </w:p>
        <w:p w:rsidRPr="000F7AD5" w:rsidR="00090435" w:rsidP="00D227AE" w:rsidRDefault="00090435" w14:paraId="779F580C" w14:textId="77777777">
          <w:pPr>
            <w:ind w:left="-18" w:right="-252"/>
            <w:jc w:val="center"/>
            <w:rPr>
              <w:color w:val="008000"/>
            </w:rPr>
          </w:pPr>
          <w:r w:rsidRPr="000F7AD5">
            <w:rPr>
              <w:rFonts w:ascii="Arial" w:hAnsi="Arial"/>
              <w:color w:val="008000"/>
              <w:sz w:val="14"/>
            </w:rPr>
            <w:t>MassDEP Website: www.mass.gov/dep</w:t>
          </w:r>
        </w:p>
      </w:tc>
    </w:tr>
    <w:tr w:rsidRPr="000F7AD5" w:rsidR="00090435" w:rsidTr="00D227AE" w14:paraId="779F580F" w14:textId="77777777">
      <w:trPr>
        <w:trHeight w:val="296"/>
        <w:jc w:val="center"/>
      </w:trPr>
      <w:tc>
        <w:tcPr>
          <w:tcW w:w="11520" w:type="dxa"/>
          <w:vAlign w:val="bottom"/>
        </w:tcPr>
        <w:p w:rsidRPr="000F7AD5" w:rsidR="00090435" w:rsidP="008308D1" w:rsidRDefault="00090435" w14:paraId="779F580E" w14:textId="5CBC7199">
          <w:pPr>
            <w:pStyle w:val="GTDocID"/>
          </w:pPr>
          <w:r w:rsidRPr="000F7AD5">
            <w:t>Printed on Recycled Paper</w:t>
          </w:r>
          <w:fldSimple w:instr=" DOCPROPERTY DOCXDOCID DMS=InterwovenIManage Format=&lt;&lt;LIB&gt;&gt; &lt;&lt;NUM&gt;&gt;v&lt;&lt;VER&gt;&gt; PRESERVELOCATION \* MERGEFORMAT ">
            <w:r w:rsidR="008308D1">
              <w:t>ACTIVE 699160815v1</w:t>
            </w:r>
          </w:fldSimple>
        </w:p>
      </w:tc>
    </w:tr>
  </w:tbl>
  <w:p w:rsidRPr="000F7AD5" w:rsidR="00090435" w:rsidRDefault="00090435" w14:paraId="779F581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F7AD5" w:rsidR="00090435" w:rsidRDefault="00090435" w14:paraId="779F581A" w14:textId="77777777">
    <w:pPr>
      <w:pStyle w:val="Footer"/>
    </w:pPr>
  </w:p>
  <w:p w:rsidRPr="000F7AD5" w:rsidR="00090435" w:rsidP="008308D1" w:rsidRDefault="008308D1" w14:paraId="779F581B" w14:textId="73E7F9DD">
    <w:pPr>
      <w:pStyle w:val="GTDocID"/>
    </w:pPr>
    <w:fldSimple w:instr=" DOCPROPERTY DOCXDOCID DMS=InterwovenIManage Format=&lt;&lt;LIB&gt;&gt; &lt;&lt;NUM&gt;&gt;v&lt;&lt;VER&gt;&gt; PRESERVELOCATION \* MERGEFORMAT ">
      <w:r w:rsidRPr="008308D1">
        <w:t>ACTIVE 699160815v1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0F7AD5" w:rsidR="00806240" w:rsidRDefault="00806240" w14:paraId="00B20365" w14:textId="77777777">
      <w:r w:rsidRPr="000F7AD5">
        <w:separator/>
      </w:r>
    </w:p>
  </w:footnote>
  <w:footnote w:type="continuationSeparator" w:id="0">
    <w:p w:rsidRPr="000F7AD5" w:rsidR="00806240" w:rsidRDefault="00806240" w14:paraId="4B739658" w14:textId="77777777">
      <w:r w:rsidRPr="000F7A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08D1" w:rsidRDefault="008308D1" w14:paraId="5AE584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F7AD5" w:rsidR="005F3CA4" w:rsidP="0003359D" w:rsidRDefault="00862DC1" w14:paraId="42614AD3" w14:textId="747C0926">
    <w:pPr>
      <w:pStyle w:val="Header"/>
      <w:ind w:left="390"/>
      <w:jc w:val="right"/>
      <w:rPr>
        <w:sz w:val="20"/>
      </w:rPr>
    </w:pPr>
    <w:r w:rsidRPr="000F7AD5">
      <w:rPr>
        <w:sz w:val="20"/>
      </w:rPr>
      <w:t>The Gillette Company, LLC</w:t>
    </w:r>
  </w:p>
  <w:p w:rsidRPr="000F7AD5" w:rsidR="00090435" w:rsidP="0003359D" w:rsidRDefault="005F3CA4" w14:paraId="779F57EE" w14:textId="38F1E09C">
    <w:pPr>
      <w:pStyle w:val="Header"/>
      <w:ind w:left="390"/>
      <w:jc w:val="right"/>
      <w:rPr>
        <w:sz w:val="20"/>
      </w:rPr>
    </w:pPr>
    <w:r w:rsidRPr="000F7AD5">
      <w:rPr>
        <w:sz w:val="20"/>
      </w:rPr>
      <w:t xml:space="preserve">Proposed Plan </w:t>
    </w:r>
    <w:r w:rsidRPr="000F7AD5" w:rsidR="00090435">
      <w:rPr>
        <w:sz w:val="20"/>
      </w:rPr>
      <w:t>Approval</w:t>
    </w:r>
  </w:p>
  <w:p w:rsidRPr="000F7AD5" w:rsidR="00090435" w:rsidP="00C3547D" w:rsidRDefault="00090435" w14:paraId="779F57EF" w14:textId="541C1D10">
    <w:pPr>
      <w:pStyle w:val="Header"/>
      <w:jc w:val="right"/>
      <w:rPr>
        <w:sz w:val="20"/>
      </w:rPr>
    </w:pPr>
    <w:r w:rsidRPr="000F7AD5">
      <w:rPr>
        <w:sz w:val="20"/>
      </w:rPr>
      <w:t xml:space="preserve">ePlace Authorization </w:t>
    </w:r>
    <w:r w:rsidRPr="000F7AD5" w:rsidR="0042131D">
      <w:rPr>
        <w:sz w:val="20"/>
      </w:rPr>
      <w:t>No</w:t>
    </w:r>
    <w:r w:rsidRPr="000F7AD5">
      <w:rPr>
        <w:sz w:val="20"/>
      </w:rPr>
      <w:t>.</w:t>
    </w:r>
    <w:r w:rsidRPr="000F7AD5" w:rsidR="00635B0B">
      <w:rPr>
        <w:rFonts w:ascii="Open Sans" w:hAnsi="Open Sans" w:cs="Open Sans"/>
        <w:color w:val="515151"/>
        <w:kern w:val="36"/>
        <w:sz w:val="27"/>
        <w:szCs w:val="27"/>
      </w:rPr>
      <w:t xml:space="preserve"> </w:t>
    </w:r>
    <w:r w:rsidRPr="00BD2B41" w:rsidR="00635B0B">
      <w:rPr>
        <w:sz w:val="20"/>
        <w:highlight w:val="lightGray"/>
      </w:rPr>
      <w:t>AQ02P-</w:t>
    </w:r>
    <w:r w:rsidRPr="00BD2B41" w:rsidR="00862DC1">
      <w:rPr>
        <w:sz w:val="20"/>
        <w:highlight w:val="lightGray"/>
      </w:rPr>
      <w:t>xxxxx</w:t>
    </w:r>
  </w:p>
  <w:p w:rsidRPr="000F7AD5" w:rsidR="00090435" w:rsidP="00C3547D" w:rsidRDefault="00090435" w14:paraId="779F57F0" w14:textId="153DF4FC">
    <w:pPr>
      <w:pStyle w:val="Header"/>
      <w:jc w:val="right"/>
      <w:rPr>
        <w:sz w:val="20"/>
      </w:rPr>
    </w:pPr>
    <w:r w:rsidRPr="000F7AD5">
      <w:rPr>
        <w:sz w:val="20"/>
      </w:rPr>
      <w:t>App</w:t>
    </w:r>
    <w:r w:rsidRPr="000F7AD5" w:rsidR="00A62FEA">
      <w:rPr>
        <w:sz w:val="20"/>
      </w:rPr>
      <w:t>roval</w:t>
    </w:r>
    <w:r w:rsidRPr="000F7AD5">
      <w:rPr>
        <w:sz w:val="20"/>
      </w:rPr>
      <w:t xml:space="preserve"> No</w:t>
    </w:r>
    <w:r w:rsidRPr="000F7AD5" w:rsidR="0042131D">
      <w:rPr>
        <w:sz w:val="20"/>
      </w:rPr>
      <w:t>.</w:t>
    </w:r>
    <w:r w:rsidRPr="000F7AD5" w:rsidR="0027057C">
      <w:t xml:space="preserve"> </w:t>
    </w:r>
    <w:r w:rsidRPr="000F7AD5" w:rsidR="0027057C">
      <w:rPr>
        <w:sz w:val="20"/>
      </w:rPr>
      <w:t>NE-2</w:t>
    </w:r>
    <w:r w:rsidRPr="000F7AD5" w:rsidR="00862DC1">
      <w:rPr>
        <w:sz w:val="20"/>
      </w:rPr>
      <w:t>3</w:t>
    </w:r>
    <w:r w:rsidRPr="000F7AD5" w:rsidR="0027057C">
      <w:rPr>
        <w:sz w:val="20"/>
      </w:rPr>
      <w:t>-0</w:t>
    </w:r>
    <w:r w:rsidRPr="000F7AD5" w:rsidR="004A2AC2">
      <w:rPr>
        <w:sz w:val="20"/>
      </w:rPr>
      <w:t>1</w:t>
    </w:r>
    <w:r w:rsidRPr="000F7AD5" w:rsidR="00862DC1">
      <w:rPr>
        <w:sz w:val="20"/>
      </w:rPr>
      <w:t>6</w:t>
    </w:r>
    <w:r w:rsidRPr="000F7AD5">
      <w:rPr>
        <w:sz w:val="20"/>
        <w:highlight w:val="yellow"/>
      </w:rPr>
      <w:t xml:space="preserve"> </w:t>
    </w:r>
  </w:p>
  <w:p w:rsidRPr="000F7AD5" w:rsidR="00090435" w:rsidP="00C3547D" w:rsidRDefault="00090435" w14:paraId="779F57F1" w14:textId="77777777">
    <w:pPr>
      <w:pStyle w:val="Header"/>
      <w:jc w:val="right"/>
      <w:rPr>
        <w:rStyle w:val="PageNumber"/>
        <w:sz w:val="20"/>
      </w:rPr>
    </w:pPr>
    <w:r w:rsidRPr="000F7AD5">
      <w:rPr>
        <w:sz w:val="20"/>
      </w:rPr>
      <w:t xml:space="preserve">Page </w:t>
    </w:r>
    <w:r w:rsidRPr="000F7AD5">
      <w:rPr>
        <w:rStyle w:val="PageNumber"/>
        <w:sz w:val="20"/>
      </w:rPr>
      <w:fldChar w:fldCharType="begin"/>
    </w:r>
    <w:r w:rsidRPr="000F7AD5">
      <w:rPr>
        <w:rStyle w:val="PageNumber"/>
        <w:sz w:val="20"/>
      </w:rPr>
      <w:instrText xml:space="preserve"> PAGE </w:instrText>
    </w:r>
    <w:r w:rsidRPr="000F7AD5">
      <w:rPr>
        <w:rStyle w:val="PageNumber"/>
        <w:sz w:val="20"/>
      </w:rPr>
      <w:fldChar w:fldCharType="separate"/>
    </w:r>
    <w:r w:rsidRPr="001A31A0" w:rsidR="00AA60CF">
      <w:rPr>
        <w:rStyle w:val="PageNumber"/>
        <w:sz w:val="20"/>
      </w:rPr>
      <w:t>10</w:t>
    </w:r>
    <w:r w:rsidRPr="000F7AD5">
      <w:rPr>
        <w:rStyle w:val="PageNumber"/>
        <w:sz w:val="20"/>
      </w:rPr>
      <w:fldChar w:fldCharType="end"/>
    </w:r>
    <w:r w:rsidRPr="000F7AD5">
      <w:rPr>
        <w:rStyle w:val="PageNumber"/>
        <w:sz w:val="20"/>
      </w:rPr>
      <w:t xml:space="preserve"> of </w:t>
    </w:r>
    <w:r w:rsidRPr="000F7AD5">
      <w:rPr>
        <w:rStyle w:val="PageNumber"/>
        <w:sz w:val="20"/>
      </w:rPr>
      <w:fldChar w:fldCharType="begin"/>
    </w:r>
    <w:r w:rsidRPr="000F7AD5">
      <w:rPr>
        <w:rStyle w:val="PageNumber"/>
        <w:sz w:val="20"/>
      </w:rPr>
      <w:instrText xml:space="preserve"> NUMPAGES </w:instrText>
    </w:r>
    <w:r w:rsidRPr="000F7AD5">
      <w:rPr>
        <w:rStyle w:val="PageNumber"/>
        <w:sz w:val="20"/>
      </w:rPr>
      <w:fldChar w:fldCharType="separate"/>
    </w:r>
    <w:r w:rsidRPr="001A31A0" w:rsidR="00AA60CF">
      <w:rPr>
        <w:rStyle w:val="PageNumber"/>
        <w:sz w:val="20"/>
      </w:rPr>
      <w:t>18</w:t>
    </w:r>
    <w:r w:rsidRPr="000F7AD5">
      <w:rPr>
        <w:rStyle w:val="PageNumber"/>
        <w:sz w:val="20"/>
      </w:rPr>
      <w:fldChar w:fldCharType="end"/>
    </w:r>
  </w:p>
  <w:p w:rsidRPr="000F7AD5" w:rsidR="00090435" w:rsidRDefault="00090435" w14:paraId="779F57F2" w14:textId="7162CEAF">
    <w:pPr>
      <w:pStyle w:val="Header"/>
      <w:jc w:val="both"/>
      <w:rPr>
        <w:sz w:val="20"/>
      </w:rPr>
    </w:pPr>
  </w:p>
  <w:p w:rsidRPr="000F7AD5" w:rsidR="00C94C3F" w:rsidRDefault="00C94C3F" w14:paraId="769FFE04" w14:textId="77777777">
    <w:pPr>
      <w:pStyle w:val="Header"/>
      <w:jc w:val="both"/>
      <w:rPr>
        <w:sz w:val="20"/>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right w:w="0" w:type="dxa"/>
      </w:tblCellMar>
      <w:tblLook w:val="00A0" w:firstRow="1" w:lastRow="0" w:firstColumn="1" w:lastColumn="0" w:noHBand="0" w:noVBand="0"/>
    </w:tblPr>
    <w:tblGrid>
      <w:gridCol w:w="1620"/>
      <w:gridCol w:w="9200"/>
    </w:tblGrid>
    <w:tr w:rsidRPr="000F7AD5" w:rsidR="00C1595B" w:rsidTr="00195666" w14:paraId="697BEFAE" w14:textId="77777777">
      <w:trPr>
        <w:trHeight w:val="1380" w:hRule="exact"/>
        <w:jc w:val="center"/>
      </w:trPr>
      <w:tc>
        <w:tcPr>
          <w:tcW w:w="1620" w:type="dxa"/>
          <w:vMerge w:val="restart"/>
          <w:tcBorders>
            <w:top w:val="nil"/>
            <w:left w:val="nil"/>
            <w:right w:val="nil"/>
          </w:tcBorders>
        </w:tcPr>
        <w:p w:rsidRPr="000F7AD5" w:rsidR="00C1595B" w:rsidP="00C1595B" w:rsidRDefault="00C1595B" w14:paraId="04355C60" w14:textId="77777777">
          <w:pPr>
            <w:pStyle w:val="Header"/>
            <w:jc w:val="both"/>
          </w:pPr>
          <w:r w:rsidRPr="000F7AD5">
            <w:rPr>
              <w:noProof/>
            </w:rPr>
            <w:drawing>
              <wp:inline distT="0" distB="0" distL="0" distR="0" wp14:anchorId="340854F8" wp14:editId="3EB08B74">
                <wp:extent cx="862965" cy="1111885"/>
                <wp:effectExtent l="19050" t="0" r="0" b="0"/>
                <wp:docPr id="1590759457"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rsidRPr="000F7AD5" w:rsidR="00C1595B" w:rsidP="00C1595B" w:rsidRDefault="00C1595B" w14:paraId="0E2578EA" w14:textId="77777777">
          <w:pPr>
            <w:pStyle w:val="Header"/>
          </w:pPr>
          <w:r w:rsidRPr="000F7AD5">
            <w:rPr>
              <w:noProof/>
            </w:rPr>
            <w:drawing>
              <wp:inline distT="0" distB="0" distL="0" distR="0" wp14:anchorId="15E2C76C" wp14:editId="38092B63">
                <wp:extent cx="5837555" cy="855980"/>
                <wp:effectExtent l="19050" t="0" r="0" b="0"/>
                <wp:docPr id="1401203703" name="Picture 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P Documents\logo10\letterhead\BMP\header_text.bmp"/>
                        <pic:cNvPicPr>
                          <a:picLocks noChangeAspect="1" noChangeArrowheads="1"/>
                        </pic:cNvPicPr>
                      </pic:nvPicPr>
                      <pic:blipFill>
                        <a:blip r:embed="rId2"/>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rsidRPr="000F7AD5" w:rsidR="00C1595B" w:rsidP="00C1595B" w:rsidRDefault="00C1595B" w14:paraId="4E9C58A9" w14:textId="77777777">
          <w:pPr>
            <w:pStyle w:val="Header"/>
          </w:pPr>
        </w:p>
        <w:p w:rsidRPr="000F7AD5" w:rsidR="00C1595B" w:rsidP="00C1595B" w:rsidRDefault="00C1595B" w14:paraId="5F023950" w14:textId="77777777"/>
        <w:p w:rsidRPr="000F7AD5" w:rsidR="00C1595B" w:rsidP="00C1595B" w:rsidRDefault="00C1595B" w14:paraId="735D9DCE" w14:textId="77777777">
          <w:pPr>
            <w:tabs>
              <w:tab w:val="left" w:pos="1868"/>
            </w:tabs>
          </w:pPr>
        </w:p>
      </w:tc>
    </w:tr>
    <w:tr w:rsidRPr="000F7AD5" w:rsidR="00C1595B" w:rsidTr="00195666" w14:paraId="29CCF25F" w14:textId="77777777">
      <w:trPr>
        <w:trHeight w:val="600" w:hRule="exact"/>
        <w:jc w:val="center"/>
      </w:trPr>
      <w:tc>
        <w:tcPr>
          <w:tcW w:w="1620" w:type="dxa"/>
          <w:vMerge/>
          <w:tcBorders>
            <w:left w:val="nil"/>
            <w:bottom w:val="nil"/>
            <w:right w:val="nil"/>
          </w:tcBorders>
        </w:tcPr>
        <w:p w:rsidRPr="000F7AD5" w:rsidR="00C1595B" w:rsidP="00C1595B" w:rsidRDefault="00C1595B" w14:paraId="52A6CC30" w14:textId="77777777">
          <w:pPr>
            <w:pStyle w:val="Header"/>
            <w:jc w:val="both"/>
          </w:pPr>
        </w:p>
      </w:tc>
      <w:tc>
        <w:tcPr>
          <w:tcW w:w="9200" w:type="dxa"/>
          <w:tcBorders>
            <w:top w:val="nil"/>
            <w:left w:val="nil"/>
            <w:bottom w:val="nil"/>
            <w:right w:val="nil"/>
          </w:tcBorders>
          <w:tcMar>
            <w:left w:w="140" w:type="dxa"/>
          </w:tcMar>
        </w:tcPr>
        <w:p w:rsidRPr="000F7AD5" w:rsidR="00C1595B" w:rsidP="00C1595B" w:rsidRDefault="00B259FA" w14:paraId="63F42F71" w14:textId="12DF552C">
          <w:pPr>
            <w:pStyle w:val="Header"/>
            <w:ind w:left="-120"/>
          </w:pPr>
          <w:r w:rsidRPr="000F7AD5">
            <w:rPr>
              <w:noProof/>
            </w:rPr>
            <w:drawing>
              <wp:inline distT="0" distB="0" distL="0" distR="0" wp14:anchorId="1CD33E72" wp14:editId="6F0F5D80">
                <wp:extent cx="5753100" cy="154940"/>
                <wp:effectExtent l="0" t="0" r="0" b="0"/>
                <wp:docPr id="1554858997" name="Picture 155485899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5753100" cy="154940"/>
                        </a:xfrm>
                        <a:prstGeom prst="rect">
                          <a:avLst/>
                        </a:prstGeom>
                      </pic:spPr>
                    </pic:pic>
                  </a:graphicData>
                </a:graphic>
              </wp:inline>
            </w:drawing>
          </w:r>
        </w:p>
      </w:tc>
    </w:tr>
    <w:tr w:rsidRPr="000F7AD5" w:rsidR="00C1595B" w:rsidTr="00195666" w14:paraId="5A882535" w14:textId="77777777">
      <w:trPr>
        <w:trHeight w:val="600"/>
        <w:jc w:val="center"/>
      </w:trPr>
      <w:tc>
        <w:tcPr>
          <w:tcW w:w="1620" w:type="dxa"/>
          <w:tcBorders>
            <w:top w:val="nil"/>
            <w:left w:val="nil"/>
            <w:bottom w:val="nil"/>
            <w:right w:val="nil"/>
          </w:tcBorders>
        </w:tcPr>
        <w:p w:rsidRPr="000F7AD5" w:rsidR="00B259FA" w:rsidP="00B259FA" w:rsidRDefault="00B259FA" w14:paraId="7BE3BE2D" w14:textId="77777777">
          <w:pPr>
            <w:jc w:val="both"/>
            <w:rPr>
              <w:rFonts w:ascii="Arial" w:hAnsi="Arial" w:cs="Arial"/>
              <w:color w:val="359D6E"/>
              <w:sz w:val="16"/>
              <w:szCs w:val="16"/>
            </w:rPr>
          </w:pPr>
          <w:r w:rsidRPr="000F7AD5">
            <w:rPr>
              <w:rFonts w:ascii="Arial" w:hAnsi="Arial" w:cs="Arial"/>
              <w:color w:val="359D6E"/>
              <w:sz w:val="16"/>
              <w:szCs w:val="16"/>
            </w:rPr>
            <w:t>Maura T. Healey</w:t>
          </w:r>
        </w:p>
        <w:p w:rsidRPr="000F7AD5" w:rsidR="00C1595B" w:rsidP="00C1595B" w:rsidRDefault="00C1595B" w14:paraId="23A49E17" w14:textId="77777777">
          <w:pPr>
            <w:rPr>
              <w:rFonts w:ascii="Arial" w:hAnsi="Arial" w:cs="Arial"/>
              <w:color w:val="359D6E"/>
              <w:sz w:val="16"/>
              <w:szCs w:val="16"/>
            </w:rPr>
          </w:pPr>
          <w:r w:rsidRPr="000F7AD5">
            <w:rPr>
              <w:rFonts w:ascii="Arial" w:hAnsi="Arial" w:cs="Arial"/>
              <w:color w:val="359D6E"/>
              <w:sz w:val="16"/>
              <w:szCs w:val="16"/>
            </w:rPr>
            <w:t>Governor</w:t>
          </w:r>
        </w:p>
        <w:p w:rsidRPr="000F7AD5" w:rsidR="00C1595B" w:rsidP="00C1595B" w:rsidRDefault="00C1595B" w14:paraId="7D51A3E1" w14:textId="77777777">
          <w:pPr>
            <w:rPr>
              <w:rFonts w:ascii="Arial" w:hAnsi="Arial" w:cs="Arial"/>
              <w:color w:val="359D6E"/>
              <w:sz w:val="16"/>
              <w:szCs w:val="16"/>
            </w:rPr>
          </w:pPr>
        </w:p>
        <w:p w:rsidRPr="000F7AD5" w:rsidR="00B259FA" w:rsidP="00B259FA" w:rsidRDefault="00B259FA" w14:paraId="6922FCE8" w14:textId="30425EF7">
          <w:pPr>
            <w:rPr>
              <w:rFonts w:ascii="Arial" w:hAnsi="Arial" w:cs="Arial"/>
              <w:bCs/>
              <w:color w:val="359D6E"/>
              <w:sz w:val="16"/>
              <w:szCs w:val="16"/>
            </w:rPr>
          </w:pPr>
          <w:r w:rsidRPr="000F7AD5">
            <w:rPr>
              <w:rFonts w:ascii="Arial" w:hAnsi="Arial" w:cs="Arial"/>
              <w:bCs/>
              <w:color w:val="359D6E"/>
              <w:sz w:val="16"/>
              <w:szCs w:val="16"/>
            </w:rPr>
            <w:t>Kimberley Driscoll</w:t>
          </w:r>
        </w:p>
        <w:p w:rsidRPr="000F7AD5" w:rsidR="00C1595B" w:rsidP="00C1595B" w:rsidRDefault="00C1595B" w14:paraId="324D5F17" w14:textId="29229F34">
          <w:pPr>
            <w:rPr>
              <w:rFonts w:ascii="Arial" w:hAnsi="Arial" w:cs="Arial"/>
              <w:color w:val="359D6E"/>
              <w:sz w:val="16"/>
              <w:szCs w:val="16"/>
            </w:rPr>
          </w:pPr>
          <w:r w:rsidRPr="000F7AD5">
            <w:rPr>
              <w:rFonts w:ascii="Arial" w:hAnsi="Arial" w:cs="Arial"/>
              <w:color w:val="359D6E"/>
              <w:sz w:val="16"/>
              <w:szCs w:val="16"/>
            </w:rPr>
            <w:t>Lieutenant Governor</w:t>
          </w:r>
        </w:p>
        <w:p w:rsidRPr="000F7AD5" w:rsidR="00C1595B" w:rsidP="00C1595B" w:rsidRDefault="00C1595B" w14:paraId="5D45CFB8" w14:textId="77777777">
          <w:pPr>
            <w:pStyle w:val="Header"/>
          </w:pPr>
        </w:p>
      </w:tc>
      <w:tc>
        <w:tcPr>
          <w:tcW w:w="9200" w:type="dxa"/>
          <w:tcBorders>
            <w:top w:val="nil"/>
            <w:left w:val="nil"/>
            <w:bottom w:val="nil"/>
            <w:right w:val="nil"/>
          </w:tcBorders>
        </w:tcPr>
        <w:p w:rsidRPr="000F7AD5" w:rsidR="00B259FA" w:rsidP="00B259FA" w:rsidRDefault="00B259FA" w14:paraId="45F32E8E" w14:textId="61E1C2C2">
          <w:pPr>
            <w:jc w:val="right"/>
            <w:rPr>
              <w:rFonts w:ascii="Arial" w:hAnsi="Arial" w:cs="Arial"/>
              <w:color w:val="359D6E"/>
              <w:sz w:val="16"/>
              <w:szCs w:val="16"/>
            </w:rPr>
          </w:pPr>
          <w:r w:rsidRPr="000F7AD5">
            <w:rPr>
              <w:rFonts w:ascii="Arial" w:hAnsi="Arial" w:cs="Arial"/>
              <w:color w:val="359D6E"/>
              <w:sz w:val="16"/>
              <w:szCs w:val="16"/>
            </w:rPr>
            <w:t>Rebecca L. Tepper</w:t>
          </w:r>
        </w:p>
        <w:p w:rsidRPr="000F7AD5" w:rsidR="00C1595B" w:rsidP="00C1595B" w:rsidRDefault="00C1595B" w14:paraId="2FD70A5E" w14:textId="4FBB5CBE">
          <w:pPr>
            <w:jc w:val="right"/>
            <w:rPr>
              <w:rFonts w:ascii="Arial" w:hAnsi="Arial" w:cs="Arial"/>
              <w:color w:val="359D6E"/>
              <w:sz w:val="16"/>
              <w:szCs w:val="16"/>
            </w:rPr>
          </w:pPr>
          <w:r w:rsidRPr="000F7AD5">
            <w:rPr>
              <w:rFonts w:ascii="Arial" w:hAnsi="Arial" w:cs="Arial"/>
              <w:color w:val="359D6E"/>
              <w:sz w:val="16"/>
              <w:szCs w:val="16"/>
            </w:rPr>
            <w:t>Secretary</w:t>
          </w:r>
        </w:p>
        <w:p w:rsidRPr="000F7AD5" w:rsidR="00C1595B" w:rsidP="00C1595B" w:rsidRDefault="00C1595B" w14:paraId="67B588FE" w14:textId="77777777">
          <w:pPr>
            <w:jc w:val="right"/>
            <w:rPr>
              <w:rFonts w:ascii="Arial" w:hAnsi="Arial" w:cs="Arial"/>
              <w:color w:val="359D6E"/>
              <w:sz w:val="16"/>
              <w:szCs w:val="16"/>
            </w:rPr>
          </w:pPr>
        </w:p>
        <w:p w:rsidRPr="000F7AD5" w:rsidR="00B259FA" w:rsidP="00B259FA" w:rsidRDefault="001A1A2B" w14:paraId="269A709C" w14:textId="7F9A706F">
          <w:pPr>
            <w:jc w:val="right"/>
            <w:rPr>
              <w:rFonts w:ascii="Arial" w:hAnsi="Arial" w:cs="Arial"/>
              <w:bCs/>
              <w:color w:val="359D6E"/>
              <w:sz w:val="16"/>
              <w:szCs w:val="16"/>
            </w:rPr>
          </w:pPr>
          <w:r w:rsidRPr="000F7AD5">
            <w:rPr>
              <w:rFonts w:ascii="Arial" w:hAnsi="Arial" w:cs="Arial"/>
              <w:bCs/>
              <w:color w:val="359D6E"/>
              <w:sz w:val="16"/>
              <w:szCs w:val="16"/>
            </w:rPr>
            <w:t>Bonnie Heiple</w:t>
          </w:r>
        </w:p>
        <w:p w:rsidRPr="000F7AD5" w:rsidR="00C1595B" w:rsidP="00C1595B" w:rsidRDefault="00C1595B" w14:paraId="7BED52A3" w14:textId="07EAD3D8">
          <w:pPr>
            <w:pStyle w:val="Header"/>
            <w:ind w:right="10"/>
            <w:jc w:val="right"/>
          </w:pPr>
          <w:r w:rsidRPr="000F7AD5">
            <w:rPr>
              <w:rFonts w:ascii="Arial" w:hAnsi="Arial" w:cs="Arial"/>
              <w:color w:val="359D6E"/>
              <w:sz w:val="16"/>
              <w:szCs w:val="16"/>
            </w:rPr>
            <w:t>Commissioner</w:t>
          </w:r>
        </w:p>
      </w:tc>
    </w:tr>
  </w:tbl>
  <w:p w:rsidRPr="000F7AD5" w:rsidR="00090435" w:rsidP="00124033" w:rsidRDefault="00090435" w14:paraId="779F5808" w14:textId="5361FB98">
    <w:pPr>
      <w:pStyle w:val="Header"/>
    </w:pPr>
  </w:p>
  <w:p w:rsidRPr="000F7AD5" w:rsidR="00357219" w:rsidP="00124033" w:rsidRDefault="00357219" w14:paraId="7DF4B6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0D5D"/>
    <w:multiLevelType w:val="hybridMultilevel"/>
    <w:tmpl w:val="B5C2898E"/>
    <w:lvl w:ilvl="0" w:tplc="ED3CC5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C0E99"/>
    <w:multiLevelType w:val="hybridMultilevel"/>
    <w:tmpl w:val="7AC66FE4"/>
    <w:lvl w:ilvl="0" w:tplc="0F36CF58">
      <w:start w:val="5"/>
      <w:numFmt w:val="decimal"/>
      <w:lvlText w:val="%1."/>
      <w:lvlJc w:val="left"/>
      <w:pPr>
        <w:ind w:left="6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D5DD2"/>
    <w:multiLevelType w:val="hybridMultilevel"/>
    <w:tmpl w:val="C7A6BBCC"/>
    <w:lvl w:ilvl="0" w:tplc="0409000F">
      <w:start w:val="1"/>
      <w:numFmt w:val="decimal"/>
      <w:lvlText w:val="%1."/>
      <w:lvlJc w:val="left"/>
      <w:pPr>
        <w:ind w:left="360"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 w15:restartNumberingAfterBreak="0">
    <w:nsid w:val="1DF86AD2"/>
    <w:multiLevelType w:val="hybridMultilevel"/>
    <w:tmpl w:val="BBE27812"/>
    <w:lvl w:ilvl="0" w:tplc="6562E844">
      <w:start w:val="4"/>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 w15:restartNumberingAfterBreak="0">
    <w:nsid w:val="26C50FBB"/>
    <w:multiLevelType w:val="multilevel"/>
    <w:tmpl w:val="8FE257C4"/>
    <w:lvl w:ilvl="0">
      <w:start w:val="1"/>
      <w:numFmt w:val="decimal"/>
      <w:lvlText w:val="%1."/>
      <w:lvlJc w:val="left"/>
      <w:pPr>
        <w:ind w:left="839" w:hanging="360"/>
      </w:pPr>
    </w:lvl>
    <w:lvl w:ilvl="1">
      <w:numFmt w:val="decimal"/>
      <w:isLgl/>
      <w:lvlText w:val="%1.%2"/>
      <w:lvlJc w:val="left"/>
      <w:pPr>
        <w:ind w:left="839" w:hanging="360"/>
      </w:pPr>
      <w:rPr>
        <w:rFonts w:hint="default"/>
      </w:rPr>
    </w:lvl>
    <w:lvl w:ilvl="2">
      <w:start w:val="1"/>
      <w:numFmt w:val="decimal"/>
      <w:isLgl/>
      <w:lvlText w:val="%1.%2.%3"/>
      <w:lvlJc w:val="left"/>
      <w:pPr>
        <w:ind w:left="1199" w:hanging="720"/>
      </w:pPr>
      <w:rPr>
        <w:rFonts w:hint="default"/>
      </w:rPr>
    </w:lvl>
    <w:lvl w:ilvl="3">
      <w:start w:val="1"/>
      <w:numFmt w:val="decimal"/>
      <w:isLgl/>
      <w:lvlText w:val="%1.%2.%3.%4"/>
      <w:lvlJc w:val="left"/>
      <w:pPr>
        <w:ind w:left="1199" w:hanging="720"/>
      </w:pPr>
      <w:rPr>
        <w:rFonts w:hint="default"/>
      </w:rPr>
    </w:lvl>
    <w:lvl w:ilvl="4">
      <w:start w:val="1"/>
      <w:numFmt w:val="decimal"/>
      <w:isLgl/>
      <w:lvlText w:val="%1.%2.%3.%4.%5"/>
      <w:lvlJc w:val="left"/>
      <w:pPr>
        <w:ind w:left="1199" w:hanging="720"/>
      </w:pPr>
      <w:rPr>
        <w:rFonts w:hint="default"/>
      </w:rPr>
    </w:lvl>
    <w:lvl w:ilvl="5">
      <w:start w:val="1"/>
      <w:numFmt w:val="decimal"/>
      <w:isLgl/>
      <w:lvlText w:val="%1.%2.%3.%4.%5.%6"/>
      <w:lvlJc w:val="left"/>
      <w:pPr>
        <w:ind w:left="1559" w:hanging="1080"/>
      </w:pPr>
      <w:rPr>
        <w:rFonts w:hint="default"/>
      </w:rPr>
    </w:lvl>
    <w:lvl w:ilvl="6">
      <w:start w:val="1"/>
      <w:numFmt w:val="decimal"/>
      <w:isLgl/>
      <w:lvlText w:val="%1.%2.%3.%4.%5.%6.%7"/>
      <w:lvlJc w:val="left"/>
      <w:pPr>
        <w:ind w:left="1559" w:hanging="1080"/>
      </w:pPr>
      <w:rPr>
        <w:rFonts w:hint="default"/>
      </w:rPr>
    </w:lvl>
    <w:lvl w:ilvl="7">
      <w:start w:val="1"/>
      <w:numFmt w:val="decimal"/>
      <w:isLgl/>
      <w:lvlText w:val="%1.%2.%3.%4.%5.%6.%7.%8"/>
      <w:lvlJc w:val="left"/>
      <w:pPr>
        <w:ind w:left="1919" w:hanging="1440"/>
      </w:pPr>
      <w:rPr>
        <w:rFonts w:hint="default"/>
      </w:rPr>
    </w:lvl>
    <w:lvl w:ilvl="8">
      <w:start w:val="1"/>
      <w:numFmt w:val="decimal"/>
      <w:isLgl/>
      <w:lvlText w:val="%1.%2.%3.%4.%5.%6.%7.%8.%9"/>
      <w:lvlJc w:val="left"/>
      <w:pPr>
        <w:ind w:left="1919" w:hanging="1440"/>
      </w:pPr>
      <w:rPr>
        <w:rFonts w:hint="default"/>
      </w:rPr>
    </w:lvl>
  </w:abstractNum>
  <w:abstractNum w:abstractNumId="5" w15:restartNumberingAfterBreak="0">
    <w:nsid w:val="275F135D"/>
    <w:multiLevelType w:val="hybridMultilevel"/>
    <w:tmpl w:val="15B668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42612"/>
    <w:multiLevelType w:val="hybridMultilevel"/>
    <w:tmpl w:val="D3ACF386"/>
    <w:lvl w:ilvl="0" w:tplc="3FA03B4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720D9"/>
    <w:multiLevelType w:val="hybridMultilevel"/>
    <w:tmpl w:val="DED2B270"/>
    <w:lvl w:ilvl="0" w:tplc="EB36112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83FB5"/>
    <w:multiLevelType w:val="hybridMultilevel"/>
    <w:tmpl w:val="119E5C62"/>
    <w:lvl w:ilvl="0" w:tplc="D364613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F07AE"/>
    <w:multiLevelType w:val="hybridMultilevel"/>
    <w:tmpl w:val="88DE4C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3864F8"/>
    <w:multiLevelType w:val="hybridMultilevel"/>
    <w:tmpl w:val="5AF24CA6"/>
    <w:lvl w:ilvl="0" w:tplc="8AE2A1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D4E09"/>
    <w:multiLevelType w:val="hybridMultilevel"/>
    <w:tmpl w:val="C7B88C44"/>
    <w:lvl w:ilvl="0" w:tplc="772EBFB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A15A1"/>
    <w:multiLevelType w:val="hybridMultilevel"/>
    <w:tmpl w:val="DE1A28D6"/>
    <w:lvl w:ilvl="0" w:tplc="99E2EBD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D46510"/>
    <w:multiLevelType w:val="hybridMultilevel"/>
    <w:tmpl w:val="71CE811C"/>
    <w:lvl w:ilvl="0" w:tplc="F7C25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92FBC"/>
    <w:multiLevelType w:val="hybridMultilevel"/>
    <w:tmpl w:val="0BEE0CFE"/>
    <w:lvl w:ilvl="0" w:tplc="04090019">
      <w:start w:val="1"/>
      <w:numFmt w:val="lowerLetter"/>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61C172A7"/>
    <w:multiLevelType w:val="hybridMultilevel"/>
    <w:tmpl w:val="841E1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416A9"/>
    <w:multiLevelType w:val="hybridMultilevel"/>
    <w:tmpl w:val="5074C3E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D7266F"/>
    <w:multiLevelType w:val="hybridMultilevel"/>
    <w:tmpl w:val="45040146"/>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8" w15:restartNumberingAfterBreak="0">
    <w:nsid w:val="6CD02A96"/>
    <w:multiLevelType w:val="hybridMultilevel"/>
    <w:tmpl w:val="908255C0"/>
    <w:lvl w:ilvl="0" w:tplc="FFFFFFFF">
      <w:start w:val="1"/>
      <w:numFmt w:val="decimal"/>
      <w:lvlText w:val="%1."/>
      <w:lvlJc w:val="left"/>
      <w:pPr>
        <w:ind w:left="360"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9" w15:restartNumberingAfterBreak="0">
    <w:nsid w:val="761835AE"/>
    <w:multiLevelType w:val="hybridMultilevel"/>
    <w:tmpl w:val="9E6E635E"/>
    <w:lvl w:ilvl="0" w:tplc="10A04D5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6737980">
    <w:abstractNumId w:val="16"/>
  </w:num>
  <w:num w:numId="2" w16cid:durableId="81993208">
    <w:abstractNumId w:val="9"/>
  </w:num>
  <w:num w:numId="3" w16cid:durableId="1649087847">
    <w:abstractNumId w:val="13"/>
  </w:num>
  <w:num w:numId="4" w16cid:durableId="232854048">
    <w:abstractNumId w:val="5"/>
  </w:num>
  <w:num w:numId="5" w16cid:durableId="164365962">
    <w:abstractNumId w:val="0"/>
  </w:num>
  <w:num w:numId="6" w16cid:durableId="1827431261">
    <w:abstractNumId w:val="2"/>
  </w:num>
  <w:num w:numId="7" w16cid:durableId="889070839">
    <w:abstractNumId w:val="12"/>
  </w:num>
  <w:num w:numId="8" w16cid:durableId="713430156">
    <w:abstractNumId w:val="19"/>
  </w:num>
  <w:num w:numId="9" w16cid:durableId="1855840">
    <w:abstractNumId w:val="1"/>
  </w:num>
  <w:num w:numId="10" w16cid:durableId="710761596">
    <w:abstractNumId w:val="4"/>
  </w:num>
  <w:num w:numId="11" w16cid:durableId="345913168">
    <w:abstractNumId w:val="10"/>
  </w:num>
  <w:num w:numId="12" w16cid:durableId="627079934">
    <w:abstractNumId w:val="6"/>
  </w:num>
  <w:num w:numId="13" w16cid:durableId="237709712">
    <w:abstractNumId w:val="11"/>
  </w:num>
  <w:num w:numId="14" w16cid:durableId="794059224">
    <w:abstractNumId w:val="14"/>
  </w:num>
  <w:num w:numId="15" w16cid:durableId="1800486552">
    <w:abstractNumId w:val="18"/>
  </w:num>
  <w:num w:numId="16" w16cid:durableId="1582762314">
    <w:abstractNumId w:val="3"/>
  </w:num>
  <w:num w:numId="17" w16cid:durableId="1161039713">
    <w:abstractNumId w:val="8"/>
  </w:num>
  <w:num w:numId="18" w16cid:durableId="1052005040">
    <w:abstractNumId w:val="15"/>
  </w:num>
  <w:num w:numId="19" w16cid:durableId="1921719655">
    <w:abstractNumId w:val="7"/>
  </w:num>
  <w:num w:numId="20" w16cid:durableId="98527741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hdrShapeDefaults>
    <o:shapedefaults v:ext="edit" spidmax="2050" style="mso-position-vertical-relative:pag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97"/>
    <w:rsid w:val="00001049"/>
    <w:rsid w:val="0000108B"/>
    <w:rsid w:val="00001F93"/>
    <w:rsid w:val="0000262E"/>
    <w:rsid w:val="00002B0B"/>
    <w:rsid w:val="00002B2D"/>
    <w:rsid w:val="00003126"/>
    <w:rsid w:val="000037D5"/>
    <w:rsid w:val="00003919"/>
    <w:rsid w:val="00003A3E"/>
    <w:rsid w:val="00004068"/>
    <w:rsid w:val="00005107"/>
    <w:rsid w:val="00005184"/>
    <w:rsid w:val="00005767"/>
    <w:rsid w:val="00006945"/>
    <w:rsid w:val="00006E62"/>
    <w:rsid w:val="00006E9C"/>
    <w:rsid w:val="000070A9"/>
    <w:rsid w:val="000070C9"/>
    <w:rsid w:val="00007605"/>
    <w:rsid w:val="000079FE"/>
    <w:rsid w:val="00007BA9"/>
    <w:rsid w:val="00007C2D"/>
    <w:rsid w:val="000100FC"/>
    <w:rsid w:val="0001057D"/>
    <w:rsid w:val="00010BD8"/>
    <w:rsid w:val="000111C8"/>
    <w:rsid w:val="0001146D"/>
    <w:rsid w:val="00011CC0"/>
    <w:rsid w:val="0001240E"/>
    <w:rsid w:val="0001362F"/>
    <w:rsid w:val="00013897"/>
    <w:rsid w:val="00013B24"/>
    <w:rsid w:val="00013F0C"/>
    <w:rsid w:val="00014541"/>
    <w:rsid w:val="00014CF8"/>
    <w:rsid w:val="00014FBB"/>
    <w:rsid w:val="000156F1"/>
    <w:rsid w:val="00015ABE"/>
    <w:rsid w:val="00015C8F"/>
    <w:rsid w:val="000162F2"/>
    <w:rsid w:val="00016323"/>
    <w:rsid w:val="00016DD8"/>
    <w:rsid w:val="00017708"/>
    <w:rsid w:val="000178E8"/>
    <w:rsid w:val="00017EA8"/>
    <w:rsid w:val="00017FEC"/>
    <w:rsid w:val="00020504"/>
    <w:rsid w:val="00020622"/>
    <w:rsid w:val="0002075D"/>
    <w:rsid w:val="00020B46"/>
    <w:rsid w:val="00020BB6"/>
    <w:rsid w:val="000215D0"/>
    <w:rsid w:val="000216A5"/>
    <w:rsid w:val="00021A06"/>
    <w:rsid w:val="00022650"/>
    <w:rsid w:val="00022654"/>
    <w:rsid w:val="000226A0"/>
    <w:rsid w:val="00022EEB"/>
    <w:rsid w:val="00023B4B"/>
    <w:rsid w:val="000245E0"/>
    <w:rsid w:val="00024675"/>
    <w:rsid w:val="0002490E"/>
    <w:rsid w:val="00024BA9"/>
    <w:rsid w:val="00024F1E"/>
    <w:rsid w:val="00025249"/>
    <w:rsid w:val="00025297"/>
    <w:rsid w:val="00025534"/>
    <w:rsid w:val="00025F10"/>
    <w:rsid w:val="000261D4"/>
    <w:rsid w:val="00027CD0"/>
    <w:rsid w:val="00027D75"/>
    <w:rsid w:val="000310F0"/>
    <w:rsid w:val="00031F55"/>
    <w:rsid w:val="0003321F"/>
    <w:rsid w:val="00033335"/>
    <w:rsid w:val="0003359D"/>
    <w:rsid w:val="00033E67"/>
    <w:rsid w:val="00034611"/>
    <w:rsid w:val="00034833"/>
    <w:rsid w:val="0003510C"/>
    <w:rsid w:val="000351C3"/>
    <w:rsid w:val="000352B7"/>
    <w:rsid w:val="00036172"/>
    <w:rsid w:val="000361F1"/>
    <w:rsid w:val="000362A4"/>
    <w:rsid w:val="00036505"/>
    <w:rsid w:val="000367B1"/>
    <w:rsid w:val="00036CBC"/>
    <w:rsid w:val="00036D6D"/>
    <w:rsid w:val="000376B2"/>
    <w:rsid w:val="0004059D"/>
    <w:rsid w:val="000409B5"/>
    <w:rsid w:val="00040F06"/>
    <w:rsid w:val="00041425"/>
    <w:rsid w:val="00041533"/>
    <w:rsid w:val="00041CA3"/>
    <w:rsid w:val="00041F0E"/>
    <w:rsid w:val="000425D7"/>
    <w:rsid w:val="0004266C"/>
    <w:rsid w:val="00042959"/>
    <w:rsid w:val="00042EEE"/>
    <w:rsid w:val="00043974"/>
    <w:rsid w:val="00043AD4"/>
    <w:rsid w:val="00043B52"/>
    <w:rsid w:val="00043C5A"/>
    <w:rsid w:val="00043D1B"/>
    <w:rsid w:val="00043D78"/>
    <w:rsid w:val="00044FEE"/>
    <w:rsid w:val="000450C7"/>
    <w:rsid w:val="0004511B"/>
    <w:rsid w:val="00045331"/>
    <w:rsid w:val="0004576F"/>
    <w:rsid w:val="0004592A"/>
    <w:rsid w:val="00045BF3"/>
    <w:rsid w:val="00045C03"/>
    <w:rsid w:val="00046367"/>
    <w:rsid w:val="00046CF3"/>
    <w:rsid w:val="0004712F"/>
    <w:rsid w:val="00050867"/>
    <w:rsid w:val="0005091F"/>
    <w:rsid w:val="00050BE5"/>
    <w:rsid w:val="000510CC"/>
    <w:rsid w:val="0005158D"/>
    <w:rsid w:val="000515B2"/>
    <w:rsid w:val="00051C03"/>
    <w:rsid w:val="00051D0B"/>
    <w:rsid w:val="00051DAB"/>
    <w:rsid w:val="00051FFA"/>
    <w:rsid w:val="00052A0F"/>
    <w:rsid w:val="00052AEF"/>
    <w:rsid w:val="00052DB9"/>
    <w:rsid w:val="000530E8"/>
    <w:rsid w:val="000539A2"/>
    <w:rsid w:val="00053C8D"/>
    <w:rsid w:val="00053DA2"/>
    <w:rsid w:val="000540B2"/>
    <w:rsid w:val="00054CD2"/>
    <w:rsid w:val="000551E3"/>
    <w:rsid w:val="000552C4"/>
    <w:rsid w:val="0005643F"/>
    <w:rsid w:val="00056A43"/>
    <w:rsid w:val="0005724D"/>
    <w:rsid w:val="000572BA"/>
    <w:rsid w:val="000574A3"/>
    <w:rsid w:val="000576C3"/>
    <w:rsid w:val="00061377"/>
    <w:rsid w:val="000617E9"/>
    <w:rsid w:val="00061CCB"/>
    <w:rsid w:val="0006210B"/>
    <w:rsid w:val="000623F5"/>
    <w:rsid w:val="00062751"/>
    <w:rsid w:val="00062CAB"/>
    <w:rsid w:val="000633D0"/>
    <w:rsid w:val="0006354D"/>
    <w:rsid w:val="00063EE7"/>
    <w:rsid w:val="000645B3"/>
    <w:rsid w:val="000645C7"/>
    <w:rsid w:val="0006484A"/>
    <w:rsid w:val="000655A0"/>
    <w:rsid w:val="00065C34"/>
    <w:rsid w:val="00066208"/>
    <w:rsid w:val="00066244"/>
    <w:rsid w:val="000663D1"/>
    <w:rsid w:val="00066410"/>
    <w:rsid w:val="00066898"/>
    <w:rsid w:val="00066F47"/>
    <w:rsid w:val="000671A1"/>
    <w:rsid w:val="000671F5"/>
    <w:rsid w:val="000673AF"/>
    <w:rsid w:val="00067C64"/>
    <w:rsid w:val="00070823"/>
    <w:rsid w:val="00070EAC"/>
    <w:rsid w:val="000710AD"/>
    <w:rsid w:val="0007161C"/>
    <w:rsid w:val="00072093"/>
    <w:rsid w:val="000720E3"/>
    <w:rsid w:val="00074A7E"/>
    <w:rsid w:val="00074C00"/>
    <w:rsid w:val="00074DE8"/>
    <w:rsid w:val="0007545F"/>
    <w:rsid w:val="0007683F"/>
    <w:rsid w:val="00077612"/>
    <w:rsid w:val="000805EF"/>
    <w:rsid w:val="00080C06"/>
    <w:rsid w:val="0008107B"/>
    <w:rsid w:val="00081751"/>
    <w:rsid w:val="00081835"/>
    <w:rsid w:val="00081C82"/>
    <w:rsid w:val="00082A3C"/>
    <w:rsid w:val="00082B1D"/>
    <w:rsid w:val="00082CDE"/>
    <w:rsid w:val="000830D5"/>
    <w:rsid w:val="00083119"/>
    <w:rsid w:val="00083671"/>
    <w:rsid w:val="000838BD"/>
    <w:rsid w:val="00084B58"/>
    <w:rsid w:val="00085645"/>
    <w:rsid w:val="0008589A"/>
    <w:rsid w:val="000858D1"/>
    <w:rsid w:val="00086DBD"/>
    <w:rsid w:val="00086F50"/>
    <w:rsid w:val="0009037A"/>
    <w:rsid w:val="00090435"/>
    <w:rsid w:val="00090B1A"/>
    <w:rsid w:val="00090C48"/>
    <w:rsid w:val="00091904"/>
    <w:rsid w:val="00091A2E"/>
    <w:rsid w:val="00091B19"/>
    <w:rsid w:val="00091C47"/>
    <w:rsid w:val="00092B58"/>
    <w:rsid w:val="00092D1D"/>
    <w:rsid w:val="00092DD3"/>
    <w:rsid w:val="00092E3F"/>
    <w:rsid w:val="000931BF"/>
    <w:rsid w:val="0009391E"/>
    <w:rsid w:val="00093C92"/>
    <w:rsid w:val="000941BF"/>
    <w:rsid w:val="00094361"/>
    <w:rsid w:val="0009436F"/>
    <w:rsid w:val="000948A1"/>
    <w:rsid w:val="00094D29"/>
    <w:rsid w:val="00095106"/>
    <w:rsid w:val="00095407"/>
    <w:rsid w:val="000954E8"/>
    <w:rsid w:val="00095FAC"/>
    <w:rsid w:val="0009664D"/>
    <w:rsid w:val="0009791B"/>
    <w:rsid w:val="00097BDB"/>
    <w:rsid w:val="00097C29"/>
    <w:rsid w:val="00097D3F"/>
    <w:rsid w:val="000A01CE"/>
    <w:rsid w:val="000A05B1"/>
    <w:rsid w:val="000A1BD3"/>
    <w:rsid w:val="000A1D14"/>
    <w:rsid w:val="000A1DBE"/>
    <w:rsid w:val="000A20DB"/>
    <w:rsid w:val="000A2CC6"/>
    <w:rsid w:val="000A2E78"/>
    <w:rsid w:val="000A3276"/>
    <w:rsid w:val="000A397C"/>
    <w:rsid w:val="000A3A75"/>
    <w:rsid w:val="000A41F4"/>
    <w:rsid w:val="000A49CD"/>
    <w:rsid w:val="000A4E21"/>
    <w:rsid w:val="000A574A"/>
    <w:rsid w:val="000A5768"/>
    <w:rsid w:val="000A5775"/>
    <w:rsid w:val="000A5B86"/>
    <w:rsid w:val="000A5BF5"/>
    <w:rsid w:val="000A6666"/>
    <w:rsid w:val="000A6A4F"/>
    <w:rsid w:val="000A6CDC"/>
    <w:rsid w:val="000A6EF6"/>
    <w:rsid w:val="000A74A3"/>
    <w:rsid w:val="000A7C7C"/>
    <w:rsid w:val="000A7DF4"/>
    <w:rsid w:val="000B0ADC"/>
    <w:rsid w:val="000B140E"/>
    <w:rsid w:val="000B1465"/>
    <w:rsid w:val="000B180E"/>
    <w:rsid w:val="000B1812"/>
    <w:rsid w:val="000B19E2"/>
    <w:rsid w:val="000B2843"/>
    <w:rsid w:val="000B2B55"/>
    <w:rsid w:val="000B2C39"/>
    <w:rsid w:val="000B3E0A"/>
    <w:rsid w:val="000B41E7"/>
    <w:rsid w:val="000B436D"/>
    <w:rsid w:val="000B4556"/>
    <w:rsid w:val="000B4596"/>
    <w:rsid w:val="000B4971"/>
    <w:rsid w:val="000B4A39"/>
    <w:rsid w:val="000B5157"/>
    <w:rsid w:val="000B5C4F"/>
    <w:rsid w:val="000B5F69"/>
    <w:rsid w:val="000B7748"/>
    <w:rsid w:val="000B78BE"/>
    <w:rsid w:val="000B7ACD"/>
    <w:rsid w:val="000C1384"/>
    <w:rsid w:val="000C224D"/>
    <w:rsid w:val="000C2697"/>
    <w:rsid w:val="000C2BA2"/>
    <w:rsid w:val="000C30EC"/>
    <w:rsid w:val="000C3511"/>
    <w:rsid w:val="000C3776"/>
    <w:rsid w:val="000C3A17"/>
    <w:rsid w:val="000C3A22"/>
    <w:rsid w:val="000C414D"/>
    <w:rsid w:val="000C4929"/>
    <w:rsid w:val="000C4B7C"/>
    <w:rsid w:val="000C4FA0"/>
    <w:rsid w:val="000C5597"/>
    <w:rsid w:val="000C5DD5"/>
    <w:rsid w:val="000C68AB"/>
    <w:rsid w:val="000C7212"/>
    <w:rsid w:val="000C727A"/>
    <w:rsid w:val="000C7823"/>
    <w:rsid w:val="000C7B94"/>
    <w:rsid w:val="000D0963"/>
    <w:rsid w:val="000D159F"/>
    <w:rsid w:val="000D187A"/>
    <w:rsid w:val="000D19BB"/>
    <w:rsid w:val="000D23D0"/>
    <w:rsid w:val="000D255A"/>
    <w:rsid w:val="000D2CAB"/>
    <w:rsid w:val="000D2E1A"/>
    <w:rsid w:val="000D2E8D"/>
    <w:rsid w:val="000D3009"/>
    <w:rsid w:val="000D33DA"/>
    <w:rsid w:val="000D3CA2"/>
    <w:rsid w:val="000D4444"/>
    <w:rsid w:val="000D4E71"/>
    <w:rsid w:val="000D56C7"/>
    <w:rsid w:val="000D587C"/>
    <w:rsid w:val="000D5936"/>
    <w:rsid w:val="000D5A36"/>
    <w:rsid w:val="000D68C8"/>
    <w:rsid w:val="000D69B3"/>
    <w:rsid w:val="000D6EC0"/>
    <w:rsid w:val="000D7552"/>
    <w:rsid w:val="000D76D4"/>
    <w:rsid w:val="000E065B"/>
    <w:rsid w:val="000E0AF2"/>
    <w:rsid w:val="000E0E0D"/>
    <w:rsid w:val="000E12DA"/>
    <w:rsid w:val="000E1577"/>
    <w:rsid w:val="000E16D8"/>
    <w:rsid w:val="000E18EE"/>
    <w:rsid w:val="000E1B9F"/>
    <w:rsid w:val="000E2648"/>
    <w:rsid w:val="000E2E6F"/>
    <w:rsid w:val="000E313C"/>
    <w:rsid w:val="000E3275"/>
    <w:rsid w:val="000E3313"/>
    <w:rsid w:val="000E380A"/>
    <w:rsid w:val="000E4674"/>
    <w:rsid w:val="000E5063"/>
    <w:rsid w:val="000E5219"/>
    <w:rsid w:val="000E5364"/>
    <w:rsid w:val="000E549E"/>
    <w:rsid w:val="000E551A"/>
    <w:rsid w:val="000E56A9"/>
    <w:rsid w:val="000E58FA"/>
    <w:rsid w:val="000E5C78"/>
    <w:rsid w:val="000E5EB7"/>
    <w:rsid w:val="000E66F1"/>
    <w:rsid w:val="000E672B"/>
    <w:rsid w:val="000E7104"/>
    <w:rsid w:val="000E7584"/>
    <w:rsid w:val="000E7C1D"/>
    <w:rsid w:val="000F0195"/>
    <w:rsid w:val="000F0404"/>
    <w:rsid w:val="000F066E"/>
    <w:rsid w:val="000F1462"/>
    <w:rsid w:val="000F1710"/>
    <w:rsid w:val="000F2645"/>
    <w:rsid w:val="000F27C4"/>
    <w:rsid w:val="000F2C19"/>
    <w:rsid w:val="000F2C6C"/>
    <w:rsid w:val="000F3C2E"/>
    <w:rsid w:val="000F401F"/>
    <w:rsid w:val="000F46E1"/>
    <w:rsid w:val="000F4753"/>
    <w:rsid w:val="000F4E8D"/>
    <w:rsid w:val="000F4F90"/>
    <w:rsid w:val="000F5AB2"/>
    <w:rsid w:val="000F5B11"/>
    <w:rsid w:val="000F5F34"/>
    <w:rsid w:val="000F6A1C"/>
    <w:rsid w:val="000F6A2D"/>
    <w:rsid w:val="000F6C05"/>
    <w:rsid w:val="000F75E0"/>
    <w:rsid w:val="000F7853"/>
    <w:rsid w:val="000F787B"/>
    <w:rsid w:val="000F7AD5"/>
    <w:rsid w:val="00100061"/>
    <w:rsid w:val="0010009E"/>
    <w:rsid w:val="00101056"/>
    <w:rsid w:val="001014E2"/>
    <w:rsid w:val="00101AE3"/>
    <w:rsid w:val="00101F00"/>
    <w:rsid w:val="00102F47"/>
    <w:rsid w:val="0010309E"/>
    <w:rsid w:val="001031BE"/>
    <w:rsid w:val="00103218"/>
    <w:rsid w:val="001032F2"/>
    <w:rsid w:val="001034AE"/>
    <w:rsid w:val="00103A06"/>
    <w:rsid w:val="00103FFA"/>
    <w:rsid w:val="00104112"/>
    <w:rsid w:val="0010427A"/>
    <w:rsid w:val="00104312"/>
    <w:rsid w:val="00104393"/>
    <w:rsid w:val="0010478E"/>
    <w:rsid w:val="00104966"/>
    <w:rsid w:val="0010497C"/>
    <w:rsid w:val="0010565E"/>
    <w:rsid w:val="001066F3"/>
    <w:rsid w:val="00106B3F"/>
    <w:rsid w:val="00106CFC"/>
    <w:rsid w:val="00107561"/>
    <w:rsid w:val="001102DF"/>
    <w:rsid w:val="00110457"/>
    <w:rsid w:val="00110992"/>
    <w:rsid w:val="00111F51"/>
    <w:rsid w:val="00111FD9"/>
    <w:rsid w:val="00112686"/>
    <w:rsid w:val="00112908"/>
    <w:rsid w:val="00112EC5"/>
    <w:rsid w:val="00113646"/>
    <w:rsid w:val="001137F2"/>
    <w:rsid w:val="00113D80"/>
    <w:rsid w:val="0011400B"/>
    <w:rsid w:val="00114237"/>
    <w:rsid w:val="001143FC"/>
    <w:rsid w:val="0011454E"/>
    <w:rsid w:val="00114675"/>
    <w:rsid w:val="00114CA2"/>
    <w:rsid w:val="00114FAA"/>
    <w:rsid w:val="0011536C"/>
    <w:rsid w:val="001155D6"/>
    <w:rsid w:val="0011569E"/>
    <w:rsid w:val="00115A8C"/>
    <w:rsid w:val="00115E22"/>
    <w:rsid w:val="0011604E"/>
    <w:rsid w:val="00116109"/>
    <w:rsid w:val="0011644B"/>
    <w:rsid w:val="0011648A"/>
    <w:rsid w:val="001165B7"/>
    <w:rsid w:val="001165F6"/>
    <w:rsid w:val="0011680B"/>
    <w:rsid w:val="00116FAC"/>
    <w:rsid w:val="001200CE"/>
    <w:rsid w:val="00120D9E"/>
    <w:rsid w:val="00120DCE"/>
    <w:rsid w:val="001218E6"/>
    <w:rsid w:val="00121B76"/>
    <w:rsid w:val="00122AA6"/>
    <w:rsid w:val="00122D7B"/>
    <w:rsid w:val="001231EB"/>
    <w:rsid w:val="0012320A"/>
    <w:rsid w:val="0012368A"/>
    <w:rsid w:val="00123716"/>
    <w:rsid w:val="00124033"/>
    <w:rsid w:val="001240FC"/>
    <w:rsid w:val="00124124"/>
    <w:rsid w:val="00124294"/>
    <w:rsid w:val="001247CD"/>
    <w:rsid w:val="00124AAF"/>
    <w:rsid w:val="00124AF3"/>
    <w:rsid w:val="00124CF0"/>
    <w:rsid w:val="00125215"/>
    <w:rsid w:val="00125579"/>
    <w:rsid w:val="00125B17"/>
    <w:rsid w:val="00125C83"/>
    <w:rsid w:val="00125E85"/>
    <w:rsid w:val="0012617C"/>
    <w:rsid w:val="0012679B"/>
    <w:rsid w:val="001269F3"/>
    <w:rsid w:val="001272B8"/>
    <w:rsid w:val="00127EA8"/>
    <w:rsid w:val="0013019C"/>
    <w:rsid w:val="0013027D"/>
    <w:rsid w:val="00131C3E"/>
    <w:rsid w:val="00131EF0"/>
    <w:rsid w:val="00132DA8"/>
    <w:rsid w:val="00133038"/>
    <w:rsid w:val="001333E7"/>
    <w:rsid w:val="001334B8"/>
    <w:rsid w:val="0013391B"/>
    <w:rsid w:val="00133A1F"/>
    <w:rsid w:val="00133FCD"/>
    <w:rsid w:val="001342FE"/>
    <w:rsid w:val="00134625"/>
    <w:rsid w:val="00134728"/>
    <w:rsid w:val="001350B6"/>
    <w:rsid w:val="001351CE"/>
    <w:rsid w:val="001353FE"/>
    <w:rsid w:val="00135875"/>
    <w:rsid w:val="00135BBF"/>
    <w:rsid w:val="00135D19"/>
    <w:rsid w:val="00136500"/>
    <w:rsid w:val="0013704B"/>
    <w:rsid w:val="00137133"/>
    <w:rsid w:val="00137888"/>
    <w:rsid w:val="00140457"/>
    <w:rsid w:val="0014045E"/>
    <w:rsid w:val="00140BBD"/>
    <w:rsid w:val="00141274"/>
    <w:rsid w:val="00141589"/>
    <w:rsid w:val="001416C9"/>
    <w:rsid w:val="0014255F"/>
    <w:rsid w:val="00142C7F"/>
    <w:rsid w:val="00143668"/>
    <w:rsid w:val="00143AB4"/>
    <w:rsid w:val="00143B57"/>
    <w:rsid w:val="00143F31"/>
    <w:rsid w:val="001444FD"/>
    <w:rsid w:val="00144FE8"/>
    <w:rsid w:val="00145BA4"/>
    <w:rsid w:val="0014618F"/>
    <w:rsid w:val="00146710"/>
    <w:rsid w:val="00147332"/>
    <w:rsid w:val="001473F4"/>
    <w:rsid w:val="00147D47"/>
    <w:rsid w:val="001502AA"/>
    <w:rsid w:val="00150B38"/>
    <w:rsid w:val="00150EE1"/>
    <w:rsid w:val="0015101C"/>
    <w:rsid w:val="00151588"/>
    <w:rsid w:val="001517AE"/>
    <w:rsid w:val="00151939"/>
    <w:rsid w:val="00152401"/>
    <w:rsid w:val="001524E8"/>
    <w:rsid w:val="00152562"/>
    <w:rsid w:val="00152A2E"/>
    <w:rsid w:val="0015358D"/>
    <w:rsid w:val="0015383E"/>
    <w:rsid w:val="001539AA"/>
    <w:rsid w:val="00153C5D"/>
    <w:rsid w:val="00153D75"/>
    <w:rsid w:val="00153D9F"/>
    <w:rsid w:val="00153EFF"/>
    <w:rsid w:val="00154C2D"/>
    <w:rsid w:val="00155EB7"/>
    <w:rsid w:val="001560A8"/>
    <w:rsid w:val="001563CB"/>
    <w:rsid w:val="00156643"/>
    <w:rsid w:val="00156E0C"/>
    <w:rsid w:val="001573D6"/>
    <w:rsid w:val="001575E0"/>
    <w:rsid w:val="00160272"/>
    <w:rsid w:val="00160878"/>
    <w:rsid w:val="00160A48"/>
    <w:rsid w:val="00160B16"/>
    <w:rsid w:val="00160C99"/>
    <w:rsid w:val="00160F4C"/>
    <w:rsid w:val="0016208F"/>
    <w:rsid w:val="0016284A"/>
    <w:rsid w:val="001629C1"/>
    <w:rsid w:val="00163D28"/>
    <w:rsid w:val="00164115"/>
    <w:rsid w:val="00164941"/>
    <w:rsid w:val="00164B23"/>
    <w:rsid w:val="00164BF8"/>
    <w:rsid w:val="00164C3B"/>
    <w:rsid w:val="00164DD4"/>
    <w:rsid w:val="00165006"/>
    <w:rsid w:val="001650C8"/>
    <w:rsid w:val="001650F5"/>
    <w:rsid w:val="00165542"/>
    <w:rsid w:val="00165EF6"/>
    <w:rsid w:val="00166286"/>
    <w:rsid w:val="001664C2"/>
    <w:rsid w:val="001668B7"/>
    <w:rsid w:val="00166DD9"/>
    <w:rsid w:val="00166DE1"/>
    <w:rsid w:val="00166F28"/>
    <w:rsid w:val="0016716B"/>
    <w:rsid w:val="001678D5"/>
    <w:rsid w:val="001679AB"/>
    <w:rsid w:val="00167A5F"/>
    <w:rsid w:val="00167A61"/>
    <w:rsid w:val="001701F3"/>
    <w:rsid w:val="00170548"/>
    <w:rsid w:val="00170F61"/>
    <w:rsid w:val="0017105A"/>
    <w:rsid w:val="0017119A"/>
    <w:rsid w:val="0017165B"/>
    <w:rsid w:val="00171B58"/>
    <w:rsid w:val="00172487"/>
    <w:rsid w:val="00172603"/>
    <w:rsid w:val="001726FC"/>
    <w:rsid w:val="00172A5C"/>
    <w:rsid w:val="00172DD7"/>
    <w:rsid w:val="00172F05"/>
    <w:rsid w:val="00173114"/>
    <w:rsid w:val="00173212"/>
    <w:rsid w:val="0017374D"/>
    <w:rsid w:val="00173A4D"/>
    <w:rsid w:val="00173B68"/>
    <w:rsid w:val="00173CDD"/>
    <w:rsid w:val="00174446"/>
    <w:rsid w:val="00174729"/>
    <w:rsid w:val="00174BF7"/>
    <w:rsid w:val="00174DFC"/>
    <w:rsid w:val="001750AA"/>
    <w:rsid w:val="00175401"/>
    <w:rsid w:val="00175DD5"/>
    <w:rsid w:val="00176CF5"/>
    <w:rsid w:val="001772FB"/>
    <w:rsid w:val="00177429"/>
    <w:rsid w:val="0017759B"/>
    <w:rsid w:val="001775DD"/>
    <w:rsid w:val="00177609"/>
    <w:rsid w:val="00177A53"/>
    <w:rsid w:val="00177DB7"/>
    <w:rsid w:val="00177F57"/>
    <w:rsid w:val="001801F5"/>
    <w:rsid w:val="00180233"/>
    <w:rsid w:val="001806FF"/>
    <w:rsid w:val="001808BA"/>
    <w:rsid w:val="00181992"/>
    <w:rsid w:val="00181D4A"/>
    <w:rsid w:val="001823F8"/>
    <w:rsid w:val="001827AD"/>
    <w:rsid w:val="00183048"/>
    <w:rsid w:val="0018356F"/>
    <w:rsid w:val="0018409F"/>
    <w:rsid w:val="00184225"/>
    <w:rsid w:val="00184E8B"/>
    <w:rsid w:val="001851A2"/>
    <w:rsid w:val="001851D6"/>
    <w:rsid w:val="00185643"/>
    <w:rsid w:val="00185739"/>
    <w:rsid w:val="00185792"/>
    <w:rsid w:val="00186294"/>
    <w:rsid w:val="001866FB"/>
    <w:rsid w:val="00186757"/>
    <w:rsid w:val="00186973"/>
    <w:rsid w:val="00190858"/>
    <w:rsid w:val="00190CAB"/>
    <w:rsid w:val="0019107E"/>
    <w:rsid w:val="001916B8"/>
    <w:rsid w:val="00192143"/>
    <w:rsid w:val="0019289D"/>
    <w:rsid w:val="00193AB7"/>
    <w:rsid w:val="00193ADA"/>
    <w:rsid w:val="00193AF0"/>
    <w:rsid w:val="00193F01"/>
    <w:rsid w:val="00193FA4"/>
    <w:rsid w:val="001940B9"/>
    <w:rsid w:val="00194209"/>
    <w:rsid w:val="00194936"/>
    <w:rsid w:val="00194FC2"/>
    <w:rsid w:val="001952E5"/>
    <w:rsid w:val="00195805"/>
    <w:rsid w:val="0019584A"/>
    <w:rsid w:val="00195D8C"/>
    <w:rsid w:val="00195F19"/>
    <w:rsid w:val="001960C3"/>
    <w:rsid w:val="0019616A"/>
    <w:rsid w:val="00196596"/>
    <w:rsid w:val="00197393"/>
    <w:rsid w:val="001977AD"/>
    <w:rsid w:val="001A03A2"/>
    <w:rsid w:val="001A05C4"/>
    <w:rsid w:val="001A0E9B"/>
    <w:rsid w:val="001A1484"/>
    <w:rsid w:val="001A1A2B"/>
    <w:rsid w:val="001A21A2"/>
    <w:rsid w:val="001A264E"/>
    <w:rsid w:val="001A2A20"/>
    <w:rsid w:val="001A31A0"/>
    <w:rsid w:val="001A3539"/>
    <w:rsid w:val="001A3B1C"/>
    <w:rsid w:val="001A4654"/>
    <w:rsid w:val="001A4F3C"/>
    <w:rsid w:val="001A5643"/>
    <w:rsid w:val="001A570D"/>
    <w:rsid w:val="001A59FC"/>
    <w:rsid w:val="001A6063"/>
    <w:rsid w:val="001A6620"/>
    <w:rsid w:val="001A662F"/>
    <w:rsid w:val="001A6923"/>
    <w:rsid w:val="001A6F16"/>
    <w:rsid w:val="001A765F"/>
    <w:rsid w:val="001B00B3"/>
    <w:rsid w:val="001B0168"/>
    <w:rsid w:val="001B021A"/>
    <w:rsid w:val="001B04D4"/>
    <w:rsid w:val="001B08F1"/>
    <w:rsid w:val="001B095F"/>
    <w:rsid w:val="001B0A65"/>
    <w:rsid w:val="001B0B08"/>
    <w:rsid w:val="001B0CC8"/>
    <w:rsid w:val="001B0F55"/>
    <w:rsid w:val="001B0F91"/>
    <w:rsid w:val="001B0FCC"/>
    <w:rsid w:val="001B0FEC"/>
    <w:rsid w:val="001B12D9"/>
    <w:rsid w:val="001B1399"/>
    <w:rsid w:val="001B173A"/>
    <w:rsid w:val="001B1CE2"/>
    <w:rsid w:val="001B1F91"/>
    <w:rsid w:val="001B20BE"/>
    <w:rsid w:val="001B2213"/>
    <w:rsid w:val="001B2FD3"/>
    <w:rsid w:val="001B3188"/>
    <w:rsid w:val="001B35F0"/>
    <w:rsid w:val="001B4A9C"/>
    <w:rsid w:val="001B5ED5"/>
    <w:rsid w:val="001B5F0C"/>
    <w:rsid w:val="001B5F71"/>
    <w:rsid w:val="001B673F"/>
    <w:rsid w:val="001B6EC7"/>
    <w:rsid w:val="001B739E"/>
    <w:rsid w:val="001B759D"/>
    <w:rsid w:val="001B764C"/>
    <w:rsid w:val="001B7B50"/>
    <w:rsid w:val="001B7EA5"/>
    <w:rsid w:val="001C01DF"/>
    <w:rsid w:val="001C03B8"/>
    <w:rsid w:val="001C0581"/>
    <w:rsid w:val="001C0E2A"/>
    <w:rsid w:val="001C0E56"/>
    <w:rsid w:val="001C139F"/>
    <w:rsid w:val="001C1681"/>
    <w:rsid w:val="001C17B6"/>
    <w:rsid w:val="001C198B"/>
    <w:rsid w:val="001C238B"/>
    <w:rsid w:val="001C2C31"/>
    <w:rsid w:val="001C36D3"/>
    <w:rsid w:val="001C36DE"/>
    <w:rsid w:val="001C39F0"/>
    <w:rsid w:val="001C4432"/>
    <w:rsid w:val="001C46EF"/>
    <w:rsid w:val="001C4FFB"/>
    <w:rsid w:val="001C5AD0"/>
    <w:rsid w:val="001C5B1E"/>
    <w:rsid w:val="001C5F38"/>
    <w:rsid w:val="001C6085"/>
    <w:rsid w:val="001C60BD"/>
    <w:rsid w:val="001C62F1"/>
    <w:rsid w:val="001C6790"/>
    <w:rsid w:val="001C6E8F"/>
    <w:rsid w:val="001C7299"/>
    <w:rsid w:val="001C7FB2"/>
    <w:rsid w:val="001D054D"/>
    <w:rsid w:val="001D0B5C"/>
    <w:rsid w:val="001D0C70"/>
    <w:rsid w:val="001D0CEC"/>
    <w:rsid w:val="001D146B"/>
    <w:rsid w:val="001D1495"/>
    <w:rsid w:val="001D1E51"/>
    <w:rsid w:val="001D280C"/>
    <w:rsid w:val="001D2B49"/>
    <w:rsid w:val="001D382E"/>
    <w:rsid w:val="001D385F"/>
    <w:rsid w:val="001D3BD5"/>
    <w:rsid w:val="001D49DA"/>
    <w:rsid w:val="001D4B77"/>
    <w:rsid w:val="001D6051"/>
    <w:rsid w:val="001D6468"/>
    <w:rsid w:val="001D690A"/>
    <w:rsid w:val="001D7042"/>
    <w:rsid w:val="001D755E"/>
    <w:rsid w:val="001D7DE3"/>
    <w:rsid w:val="001D7F7C"/>
    <w:rsid w:val="001E06C0"/>
    <w:rsid w:val="001E1070"/>
    <w:rsid w:val="001E10E4"/>
    <w:rsid w:val="001E1328"/>
    <w:rsid w:val="001E18B3"/>
    <w:rsid w:val="001E1B47"/>
    <w:rsid w:val="001E1D2E"/>
    <w:rsid w:val="001E1E90"/>
    <w:rsid w:val="001E1FA4"/>
    <w:rsid w:val="001E26EE"/>
    <w:rsid w:val="001E3010"/>
    <w:rsid w:val="001E3093"/>
    <w:rsid w:val="001E335E"/>
    <w:rsid w:val="001E343B"/>
    <w:rsid w:val="001E3737"/>
    <w:rsid w:val="001E38A8"/>
    <w:rsid w:val="001E38D1"/>
    <w:rsid w:val="001E3A41"/>
    <w:rsid w:val="001E45FF"/>
    <w:rsid w:val="001E480D"/>
    <w:rsid w:val="001E4CFC"/>
    <w:rsid w:val="001E72F8"/>
    <w:rsid w:val="001E7331"/>
    <w:rsid w:val="001F0911"/>
    <w:rsid w:val="001F0D3A"/>
    <w:rsid w:val="001F0E9E"/>
    <w:rsid w:val="001F1C1A"/>
    <w:rsid w:val="001F2094"/>
    <w:rsid w:val="001F309B"/>
    <w:rsid w:val="001F31B1"/>
    <w:rsid w:val="001F3625"/>
    <w:rsid w:val="001F50F6"/>
    <w:rsid w:val="001F5247"/>
    <w:rsid w:val="001F5ED9"/>
    <w:rsid w:val="001F6718"/>
    <w:rsid w:val="001F6838"/>
    <w:rsid w:val="001F6A48"/>
    <w:rsid w:val="001F6CA6"/>
    <w:rsid w:val="00200035"/>
    <w:rsid w:val="002000AD"/>
    <w:rsid w:val="002003A6"/>
    <w:rsid w:val="002005E4"/>
    <w:rsid w:val="00200FB8"/>
    <w:rsid w:val="0020150F"/>
    <w:rsid w:val="0020153A"/>
    <w:rsid w:val="00201624"/>
    <w:rsid w:val="002017EE"/>
    <w:rsid w:val="00201AEB"/>
    <w:rsid w:val="00202155"/>
    <w:rsid w:val="002021E0"/>
    <w:rsid w:val="002029D6"/>
    <w:rsid w:val="00202F4F"/>
    <w:rsid w:val="00202FFE"/>
    <w:rsid w:val="00203299"/>
    <w:rsid w:val="002035BB"/>
    <w:rsid w:val="0020386B"/>
    <w:rsid w:val="00203DA1"/>
    <w:rsid w:val="00203DF7"/>
    <w:rsid w:val="002046DA"/>
    <w:rsid w:val="00205DDE"/>
    <w:rsid w:val="002065F7"/>
    <w:rsid w:val="00206695"/>
    <w:rsid w:val="002069FB"/>
    <w:rsid w:val="00206BD0"/>
    <w:rsid w:val="002076A3"/>
    <w:rsid w:val="00207BCC"/>
    <w:rsid w:val="00207F7C"/>
    <w:rsid w:val="002101DE"/>
    <w:rsid w:val="00210A48"/>
    <w:rsid w:val="00210E43"/>
    <w:rsid w:val="00210E8F"/>
    <w:rsid w:val="00210EC5"/>
    <w:rsid w:val="00211121"/>
    <w:rsid w:val="0021141C"/>
    <w:rsid w:val="002119EA"/>
    <w:rsid w:val="00211B2E"/>
    <w:rsid w:val="0021214F"/>
    <w:rsid w:val="002129C4"/>
    <w:rsid w:val="00212A2C"/>
    <w:rsid w:val="00212FEB"/>
    <w:rsid w:val="00213B76"/>
    <w:rsid w:val="00213C93"/>
    <w:rsid w:val="00214023"/>
    <w:rsid w:val="0021444D"/>
    <w:rsid w:val="00215679"/>
    <w:rsid w:val="00215A13"/>
    <w:rsid w:val="002161CE"/>
    <w:rsid w:val="0021699A"/>
    <w:rsid w:val="00217400"/>
    <w:rsid w:val="0021792A"/>
    <w:rsid w:val="00220A77"/>
    <w:rsid w:val="00221149"/>
    <w:rsid w:val="002212A8"/>
    <w:rsid w:val="0022146F"/>
    <w:rsid w:val="00221964"/>
    <w:rsid w:val="002222FF"/>
    <w:rsid w:val="00222314"/>
    <w:rsid w:val="0022269B"/>
    <w:rsid w:val="002227FB"/>
    <w:rsid w:val="00222905"/>
    <w:rsid w:val="0022293D"/>
    <w:rsid w:val="00222B7E"/>
    <w:rsid w:val="00222C1A"/>
    <w:rsid w:val="00222CF3"/>
    <w:rsid w:val="00222D86"/>
    <w:rsid w:val="00222E55"/>
    <w:rsid w:val="0022330B"/>
    <w:rsid w:val="00223517"/>
    <w:rsid w:val="00223641"/>
    <w:rsid w:val="00223E49"/>
    <w:rsid w:val="00224116"/>
    <w:rsid w:val="00224899"/>
    <w:rsid w:val="00224901"/>
    <w:rsid w:val="00225102"/>
    <w:rsid w:val="00227043"/>
    <w:rsid w:val="00227250"/>
    <w:rsid w:val="00227DEE"/>
    <w:rsid w:val="00230EE2"/>
    <w:rsid w:val="002310E9"/>
    <w:rsid w:val="00231705"/>
    <w:rsid w:val="002317BB"/>
    <w:rsid w:val="0023236A"/>
    <w:rsid w:val="002324B5"/>
    <w:rsid w:val="00232547"/>
    <w:rsid w:val="00233367"/>
    <w:rsid w:val="0023351D"/>
    <w:rsid w:val="002337C8"/>
    <w:rsid w:val="00233C94"/>
    <w:rsid w:val="00234440"/>
    <w:rsid w:val="0023485B"/>
    <w:rsid w:val="00234933"/>
    <w:rsid w:val="002349A3"/>
    <w:rsid w:val="0023509D"/>
    <w:rsid w:val="00235172"/>
    <w:rsid w:val="00235297"/>
    <w:rsid w:val="00235695"/>
    <w:rsid w:val="00235E94"/>
    <w:rsid w:val="00236179"/>
    <w:rsid w:val="00236948"/>
    <w:rsid w:val="002374DE"/>
    <w:rsid w:val="002374F3"/>
    <w:rsid w:val="002379C7"/>
    <w:rsid w:val="00237B36"/>
    <w:rsid w:val="00237F73"/>
    <w:rsid w:val="002402B7"/>
    <w:rsid w:val="002409EA"/>
    <w:rsid w:val="00240AFF"/>
    <w:rsid w:val="00240B16"/>
    <w:rsid w:val="00240D03"/>
    <w:rsid w:val="0024134A"/>
    <w:rsid w:val="002413F3"/>
    <w:rsid w:val="00242169"/>
    <w:rsid w:val="002421DF"/>
    <w:rsid w:val="00243992"/>
    <w:rsid w:val="00243FA4"/>
    <w:rsid w:val="002441F9"/>
    <w:rsid w:val="002448EB"/>
    <w:rsid w:val="00244B64"/>
    <w:rsid w:val="00244E35"/>
    <w:rsid w:val="00244F3B"/>
    <w:rsid w:val="0024503F"/>
    <w:rsid w:val="00245185"/>
    <w:rsid w:val="002457A5"/>
    <w:rsid w:val="0024588A"/>
    <w:rsid w:val="00245A0A"/>
    <w:rsid w:val="00245B45"/>
    <w:rsid w:val="00247927"/>
    <w:rsid w:val="00247A2E"/>
    <w:rsid w:val="00247DD5"/>
    <w:rsid w:val="00247ED7"/>
    <w:rsid w:val="0025052B"/>
    <w:rsid w:val="002508A1"/>
    <w:rsid w:val="002512DA"/>
    <w:rsid w:val="00251ADB"/>
    <w:rsid w:val="00251F05"/>
    <w:rsid w:val="00252053"/>
    <w:rsid w:val="002521C0"/>
    <w:rsid w:val="002522EF"/>
    <w:rsid w:val="00252704"/>
    <w:rsid w:val="002537B6"/>
    <w:rsid w:val="002538ED"/>
    <w:rsid w:val="00253CCC"/>
    <w:rsid w:val="00253D89"/>
    <w:rsid w:val="00253DA3"/>
    <w:rsid w:val="00254666"/>
    <w:rsid w:val="0025483D"/>
    <w:rsid w:val="00254CA4"/>
    <w:rsid w:val="00254F68"/>
    <w:rsid w:val="00255185"/>
    <w:rsid w:val="00255851"/>
    <w:rsid w:val="00255898"/>
    <w:rsid w:val="002559CD"/>
    <w:rsid w:val="00256AD1"/>
    <w:rsid w:val="00256FBA"/>
    <w:rsid w:val="002571D9"/>
    <w:rsid w:val="00257F99"/>
    <w:rsid w:val="0026036A"/>
    <w:rsid w:val="00260418"/>
    <w:rsid w:val="0026056E"/>
    <w:rsid w:val="002606B5"/>
    <w:rsid w:val="002608BD"/>
    <w:rsid w:val="002609FA"/>
    <w:rsid w:val="00261235"/>
    <w:rsid w:val="00261553"/>
    <w:rsid w:val="00262068"/>
    <w:rsid w:val="00262309"/>
    <w:rsid w:val="00262365"/>
    <w:rsid w:val="00262664"/>
    <w:rsid w:val="00262D1B"/>
    <w:rsid w:val="00263140"/>
    <w:rsid w:val="00263393"/>
    <w:rsid w:val="00263566"/>
    <w:rsid w:val="002635A0"/>
    <w:rsid w:val="00263A80"/>
    <w:rsid w:val="00263FD2"/>
    <w:rsid w:val="00264420"/>
    <w:rsid w:val="00264A95"/>
    <w:rsid w:val="00264E82"/>
    <w:rsid w:val="00265222"/>
    <w:rsid w:val="00265734"/>
    <w:rsid w:val="00265CD6"/>
    <w:rsid w:val="00265E20"/>
    <w:rsid w:val="00266108"/>
    <w:rsid w:val="00266297"/>
    <w:rsid w:val="00267086"/>
    <w:rsid w:val="00267FE3"/>
    <w:rsid w:val="0027033B"/>
    <w:rsid w:val="0027057C"/>
    <w:rsid w:val="00271601"/>
    <w:rsid w:val="0027182C"/>
    <w:rsid w:val="00271BAF"/>
    <w:rsid w:val="00271CF9"/>
    <w:rsid w:val="0027224A"/>
    <w:rsid w:val="002722A4"/>
    <w:rsid w:val="00272344"/>
    <w:rsid w:val="00272765"/>
    <w:rsid w:val="00272DC0"/>
    <w:rsid w:val="00274073"/>
    <w:rsid w:val="002743C5"/>
    <w:rsid w:val="002746BB"/>
    <w:rsid w:val="00274742"/>
    <w:rsid w:val="00274E14"/>
    <w:rsid w:val="002760CB"/>
    <w:rsid w:val="00276131"/>
    <w:rsid w:val="002768F6"/>
    <w:rsid w:val="002769F3"/>
    <w:rsid w:val="00276DC1"/>
    <w:rsid w:val="00277079"/>
    <w:rsid w:val="002770A4"/>
    <w:rsid w:val="00277329"/>
    <w:rsid w:val="002774CE"/>
    <w:rsid w:val="00280CF7"/>
    <w:rsid w:val="00280D13"/>
    <w:rsid w:val="00281651"/>
    <w:rsid w:val="00281C83"/>
    <w:rsid w:val="00281CE1"/>
    <w:rsid w:val="002826DE"/>
    <w:rsid w:val="00282F1A"/>
    <w:rsid w:val="00282FF3"/>
    <w:rsid w:val="002831D0"/>
    <w:rsid w:val="002833C2"/>
    <w:rsid w:val="00283851"/>
    <w:rsid w:val="0028432C"/>
    <w:rsid w:val="002848D5"/>
    <w:rsid w:val="002850C0"/>
    <w:rsid w:val="0028518B"/>
    <w:rsid w:val="002854DC"/>
    <w:rsid w:val="0028570A"/>
    <w:rsid w:val="00285C5D"/>
    <w:rsid w:val="00285E31"/>
    <w:rsid w:val="00286371"/>
    <w:rsid w:val="00286994"/>
    <w:rsid w:val="00286A94"/>
    <w:rsid w:val="00286DF9"/>
    <w:rsid w:val="0028711E"/>
    <w:rsid w:val="0028726A"/>
    <w:rsid w:val="00287E72"/>
    <w:rsid w:val="00287F15"/>
    <w:rsid w:val="0029039A"/>
    <w:rsid w:val="00290952"/>
    <w:rsid w:val="002909AD"/>
    <w:rsid w:val="002909B8"/>
    <w:rsid w:val="00290E97"/>
    <w:rsid w:val="00290F13"/>
    <w:rsid w:val="00290FA9"/>
    <w:rsid w:val="002910C0"/>
    <w:rsid w:val="00291E9B"/>
    <w:rsid w:val="00292639"/>
    <w:rsid w:val="00292ED1"/>
    <w:rsid w:val="00293230"/>
    <w:rsid w:val="002932F6"/>
    <w:rsid w:val="002939EF"/>
    <w:rsid w:val="00293ACA"/>
    <w:rsid w:val="00293C51"/>
    <w:rsid w:val="00294157"/>
    <w:rsid w:val="00294A54"/>
    <w:rsid w:val="00294ADA"/>
    <w:rsid w:val="002952B0"/>
    <w:rsid w:val="0029562D"/>
    <w:rsid w:val="00296646"/>
    <w:rsid w:val="00296B25"/>
    <w:rsid w:val="00296D7F"/>
    <w:rsid w:val="0029763E"/>
    <w:rsid w:val="002A0639"/>
    <w:rsid w:val="002A06B6"/>
    <w:rsid w:val="002A1579"/>
    <w:rsid w:val="002A1D9C"/>
    <w:rsid w:val="002A1E52"/>
    <w:rsid w:val="002A1EB5"/>
    <w:rsid w:val="002A2691"/>
    <w:rsid w:val="002A2B8A"/>
    <w:rsid w:val="002A319F"/>
    <w:rsid w:val="002A35C1"/>
    <w:rsid w:val="002A4021"/>
    <w:rsid w:val="002A49EC"/>
    <w:rsid w:val="002A4A25"/>
    <w:rsid w:val="002A5BF8"/>
    <w:rsid w:val="002A5D2A"/>
    <w:rsid w:val="002A6987"/>
    <w:rsid w:val="002A6BAC"/>
    <w:rsid w:val="002A6C96"/>
    <w:rsid w:val="002A6F83"/>
    <w:rsid w:val="002A7327"/>
    <w:rsid w:val="002A74B7"/>
    <w:rsid w:val="002A7DAF"/>
    <w:rsid w:val="002B00A2"/>
    <w:rsid w:val="002B1103"/>
    <w:rsid w:val="002B1A6A"/>
    <w:rsid w:val="002B259E"/>
    <w:rsid w:val="002B3063"/>
    <w:rsid w:val="002B3217"/>
    <w:rsid w:val="002B4399"/>
    <w:rsid w:val="002B4446"/>
    <w:rsid w:val="002B4C2C"/>
    <w:rsid w:val="002B4C5C"/>
    <w:rsid w:val="002B557D"/>
    <w:rsid w:val="002B57DA"/>
    <w:rsid w:val="002B5A8B"/>
    <w:rsid w:val="002B619D"/>
    <w:rsid w:val="002B6A9F"/>
    <w:rsid w:val="002B6EC9"/>
    <w:rsid w:val="002B7951"/>
    <w:rsid w:val="002B79EB"/>
    <w:rsid w:val="002C01D9"/>
    <w:rsid w:val="002C02DC"/>
    <w:rsid w:val="002C0C4F"/>
    <w:rsid w:val="002C0D8C"/>
    <w:rsid w:val="002C0FC6"/>
    <w:rsid w:val="002C1D1C"/>
    <w:rsid w:val="002C2043"/>
    <w:rsid w:val="002C2D48"/>
    <w:rsid w:val="002C31E0"/>
    <w:rsid w:val="002C3DFB"/>
    <w:rsid w:val="002C4085"/>
    <w:rsid w:val="002C4C0D"/>
    <w:rsid w:val="002C4C1C"/>
    <w:rsid w:val="002C4EB8"/>
    <w:rsid w:val="002C5079"/>
    <w:rsid w:val="002C51BE"/>
    <w:rsid w:val="002C56F3"/>
    <w:rsid w:val="002C57C7"/>
    <w:rsid w:val="002C5C92"/>
    <w:rsid w:val="002C5EBE"/>
    <w:rsid w:val="002C61F7"/>
    <w:rsid w:val="002C629D"/>
    <w:rsid w:val="002C641E"/>
    <w:rsid w:val="002C657E"/>
    <w:rsid w:val="002C6653"/>
    <w:rsid w:val="002C69AC"/>
    <w:rsid w:val="002C6A3F"/>
    <w:rsid w:val="002C711A"/>
    <w:rsid w:val="002C74BB"/>
    <w:rsid w:val="002C7A54"/>
    <w:rsid w:val="002C7C6B"/>
    <w:rsid w:val="002C7DAE"/>
    <w:rsid w:val="002D021A"/>
    <w:rsid w:val="002D06B9"/>
    <w:rsid w:val="002D0C1A"/>
    <w:rsid w:val="002D1708"/>
    <w:rsid w:val="002D1B5D"/>
    <w:rsid w:val="002D2472"/>
    <w:rsid w:val="002D2628"/>
    <w:rsid w:val="002D266E"/>
    <w:rsid w:val="002D26F6"/>
    <w:rsid w:val="002D2938"/>
    <w:rsid w:val="002D2993"/>
    <w:rsid w:val="002D2C21"/>
    <w:rsid w:val="002D2CF2"/>
    <w:rsid w:val="002D330E"/>
    <w:rsid w:val="002D3D86"/>
    <w:rsid w:val="002D3EBC"/>
    <w:rsid w:val="002D4586"/>
    <w:rsid w:val="002D4659"/>
    <w:rsid w:val="002D4FA1"/>
    <w:rsid w:val="002D503F"/>
    <w:rsid w:val="002D5E95"/>
    <w:rsid w:val="002D672F"/>
    <w:rsid w:val="002D6770"/>
    <w:rsid w:val="002D6F9C"/>
    <w:rsid w:val="002D78B2"/>
    <w:rsid w:val="002D79DA"/>
    <w:rsid w:val="002E057F"/>
    <w:rsid w:val="002E0BC7"/>
    <w:rsid w:val="002E0FD3"/>
    <w:rsid w:val="002E10BA"/>
    <w:rsid w:val="002E1556"/>
    <w:rsid w:val="002E1969"/>
    <w:rsid w:val="002E1B0C"/>
    <w:rsid w:val="002E24C6"/>
    <w:rsid w:val="002E3DAE"/>
    <w:rsid w:val="002E3F3D"/>
    <w:rsid w:val="002E405F"/>
    <w:rsid w:val="002E4395"/>
    <w:rsid w:val="002E43F2"/>
    <w:rsid w:val="002E459E"/>
    <w:rsid w:val="002E4E00"/>
    <w:rsid w:val="002E51D8"/>
    <w:rsid w:val="002E5823"/>
    <w:rsid w:val="002E585C"/>
    <w:rsid w:val="002E5B67"/>
    <w:rsid w:val="002E5C7E"/>
    <w:rsid w:val="002E604D"/>
    <w:rsid w:val="002E618A"/>
    <w:rsid w:val="002E61ED"/>
    <w:rsid w:val="002E6258"/>
    <w:rsid w:val="002E6D5F"/>
    <w:rsid w:val="002E719A"/>
    <w:rsid w:val="002E7F7C"/>
    <w:rsid w:val="002F0266"/>
    <w:rsid w:val="002F03CA"/>
    <w:rsid w:val="002F0792"/>
    <w:rsid w:val="002F085C"/>
    <w:rsid w:val="002F10AE"/>
    <w:rsid w:val="002F16E2"/>
    <w:rsid w:val="002F17B9"/>
    <w:rsid w:val="002F1A4A"/>
    <w:rsid w:val="002F1A6D"/>
    <w:rsid w:val="002F1D93"/>
    <w:rsid w:val="002F2392"/>
    <w:rsid w:val="002F2855"/>
    <w:rsid w:val="002F2D60"/>
    <w:rsid w:val="002F315A"/>
    <w:rsid w:val="002F3494"/>
    <w:rsid w:val="002F3586"/>
    <w:rsid w:val="002F3C06"/>
    <w:rsid w:val="002F50F9"/>
    <w:rsid w:val="002F6863"/>
    <w:rsid w:val="002F6A36"/>
    <w:rsid w:val="002F7542"/>
    <w:rsid w:val="002F7A70"/>
    <w:rsid w:val="00300ED2"/>
    <w:rsid w:val="00301055"/>
    <w:rsid w:val="00301780"/>
    <w:rsid w:val="003017CF"/>
    <w:rsid w:val="00302486"/>
    <w:rsid w:val="00302540"/>
    <w:rsid w:val="00303693"/>
    <w:rsid w:val="00303C48"/>
    <w:rsid w:val="0030453A"/>
    <w:rsid w:val="003045AD"/>
    <w:rsid w:val="00304854"/>
    <w:rsid w:val="00304F60"/>
    <w:rsid w:val="00305054"/>
    <w:rsid w:val="003051E2"/>
    <w:rsid w:val="00305248"/>
    <w:rsid w:val="00305B6E"/>
    <w:rsid w:val="0030611E"/>
    <w:rsid w:val="0030649B"/>
    <w:rsid w:val="003066A7"/>
    <w:rsid w:val="00307197"/>
    <w:rsid w:val="0030767C"/>
    <w:rsid w:val="00307C3B"/>
    <w:rsid w:val="0031014D"/>
    <w:rsid w:val="003118C1"/>
    <w:rsid w:val="00311C98"/>
    <w:rsid w:val="00311E31"/>
    <w:rsid w:val="00312557"/>
    <w:rsid w:val="003127A0"/>
    <w:rsid w:val="003129C6"/>
    <w:rsid w:val="00312C69"/>
    <w:rsid w:val="00312E4E"/>
    <w:rsid w:val="00313074"/>
    <w:rsid w:val="003134A9"/>
    <w:rsid w:val="00313883"/>
    <w:rsid w:val="00313A7E"/>
    <w:rsid w:val="0031411C"/>
    <w:rsid w:val="0031542E"/>
    <w:rsid w:val="003154A8"/>
    <w:rsid w:val="00315CF6"/>
    <w:rsid w:val="0031628D"/>
    <w:rsid w:val="00316364"/>
    <w:rsid w:val="003163DB"/>
    <w:rsid w:val="00316543"/>
    <w:rsid w:val="00316EBB"/>
    <w:rsid w:val="00317210"/>
    <w:rsid w:val="003204CE"/>
    <w:rsid w:val="00320591"/>
    <w:rsid w:val="00320F98"/>
    <w:rsid w:val="00321487"/>
    <w:rsid w:val="00321A09"/>
    <w:rsid w:val="00322721"/>
    <w:rsid w:val="00322995"/>
    <w:rsid w:val="0032339F"/>
    <w:rsid w:val="00324BC3"/>
    <w:rsid w:val="0032590B"/>
    <w:rsid w:val="00326709"/>
    <w:rsid w:val="0032673A"/>
    <w:rsid w:val="00326793"/>
    <w:rsid w:val="003269DA"/>
    <w:rsid w:val="003270A1"/>
    <w:rsid w:val="0032755F"/>
    <w:rsid w:val="003275DD"/>
    <w:rsid w:val="00327666"/>
    <w:rsid w:val="0032798E"/>
    <w:rsid w:val="00327BDE"/>
    <w:rsid w:val="00330B09"/>
    <w:rsid w:val="0033115E"/>
    <w:rsid w:val="0033123E"/>
    <w:rsid w:val="003318B0"/>
    <w:rsid w:val="00332283"/>
    <w:rsid w:val="00332DD3"/>
    <w:rsid w:val="00333382"/>
    <w:rsid w:val="003336BB"/>
    <w:rsid w:val="0033372E"/>
    <w:rsid w:val="00333F6D"/>
    <w:rsid w:val="00333FCD"/>
    <w:rsid w:val="003342EB"/>
    <w:rsid w:val="00334601"/>
    <w:rsid w:val="00334820"/>
    <w:rsid w:val="0033495B"/>
    <w:rsid w:val="00334AE6"/>
    <w:rsid w:val="00334BB0"/>
    <w:rsid w:val="00334CE5"/>
    <w:rsid w:val="00334E16"/>
    <w:rsid w:val="00335EFE"/>
    <w:rsid w:val="003364AA"/>
    <w:rsid w:val="00336642"/>
    <w:rsid w:val="00337547"/>
    <w:rsid w:val="0033778F"/>
    <w:rsid w:val="003378BA"/>
    <w:rsid w:val="00337F2F"/>
    <w:rsid w:val="00340335"/>
    <w:rsid w:val="00340984"/>
    <w:rsid w:val="00340EC2"/>
    <w:rsid w:val="003416AB"/>
    <w:rsid w:val="00342887"/>
    <w:rsid w:val="0034318E"/>
    <w:rsid w:val="003436BE"/>
    <w:rsid w:val="003437E1"/>
    <w:rsid w:val="00343A02"/>
    <w:rsid w:val="00343D6A"/>
    <w:rsid w:val="00344614"/>
    <w:rsid w:val="003446A9"/>
    <w:rsid w:val="003446C9"/>
    <w:rsid w:val="00345511"/>
    <w:rsid w:val="00345D4E"/>
    <w:rsid w:val="00345F6D"/>
    <w:rsid w:val="0034647F"/>
    <w:rsid w:val="00346895"/>
    <w:rsid w:val="003468FA"/>
    <w:rsid w:val="00347517"/>
    <w:rsid w:val="00347A30"/>
    <w:rsid w:val="00347A77"/>
    <w:rsid w:val="00347AB7"/>
    <w:rsid w:val="00347EC1"/>
    <w:rsid w:val="00350328"/>
    <w:rsid w:val="00350636"/>
    <w:rsid w:val="003507C0"/>
    <w:rsid w:val="00350BFE"/>
    <w:rsid w:val="00350D3F"/>
    <w:rsid w:val="003510FA"/>
    <w:rsid w:val="00351113"/>
    <w:rsid w:val="003516F5"/>
    <w:rsid w:val="003518E5"/>
    <w:rsid w:val="003518FB"/>
    <w:rsid w:val="00351F97"/>
    <w:rsid w:val="00352C01"/>
    <w:rsid w:val="00352D8A"/>
    <w:rsid w:val="00352DB5"/>
    <w:rsid w:val="00353420"/>
    <w:rsid w:val="00353C6A"/>
    <w:rsid w:val="00353EE8"/>
    <w:rsid w:val="0035414C"/>
    <w:rsid w:val="003542DD"/>
    <w:rsid w:val="0035448E"/>
    <w:rsid w:val="003549BF"/>
    <w:rsid w:val="003559E6"/>
    <w:rsid w:val="00355D1E"/>
    <w:rsid w:val="00356126"/>
    <w:rsid w:val="00356302"/>
    <w:rsid w:val="00356601"/>
    <w:rsid w:val="00357219"/>
    <w:rsid w:val="00357577"/>
    <w:rsid w:val="00357D9C"/>
    <w:rsid w:val="00357E18"/>
    <w:rsid w:val="003600F6"/>
    <w:rsid w:val="00360328"/>
    <w:rsid w:val="003606AB"/>
    <w:rsid w:val="00360C2F"/>
    <w:rsid w:val="00361A97"/>
    <w:rsid w:val="003624FF"/>
    <w:rsid w:val="003628EC"/>
    <w:rsid w:val="00363AA1"/>
    <w:rsid w:val="00363EDC"/>
    <w:rsid w:val="0036404C"/>
    <w:rsid w:val="00364B72"/>
    <w:rsid w:val="00364DDC"/>
    <w:rsid w:val="00365CA7"/>
    <w:rsid w:val="00366C50"/>
    <w:rsid w:val="00366CB8"/>
    <w:rsid w:val="003673CB"/>
    <w:rsid w:val="0036795E"/>
    <w:rsid w:val="00367A03"/>
    <w:rsid w:val="00367EF2"/>
    <w:rsid w:val="0037023C"/>
    <w:rsid w:val="0037036B"/>
    <w:rsid w:val="003704E5"/>
    <w:rsid w:val="003716C2"/>
    <w:rsid w:val="00371CC2"/>
    <w:rsid w:val="00371DA8"/>
    <w:rsid w:val="00371EF9"/>
    <w:rsid w:val="00372038"/>
    <w:rsid w:val="003722FC"/>
    <w:rsid w:val="003724E7"/>
    <w:rsid w:val="00372BED"/>
    <w:rsid w:val="0037307A"/>
    <w:rsid w:val="003743E9"/>
    <w:rsid w:val="00374588"/>
    <w:rsid w:val="00374D1D"/>
    <w:rsid w:val="003750C7"/>
    <w:rsid w:val="00375607"/>
    <w:rsid w:val="0037584B"/>
    <w:rsid w:val="003761BF"/>
    <w:rsid w:val="0037634F"/>
    <w:rsid w:val="00376738"/>
    <w:rsid w:val="00376AE9"/>
    <w:rsid w:val="003772CB"/>
    <w:rsid w:val="0037755F"/>
    <w:rsid w:val="00377CF8"/>
    <w:rsid w:val="00377EB3"/>
    <w:rsid w:val="003805A6"/>
    <w:rsid w:val="0038074B"/>
    <w:rsid w:val="00380878"/>
    <w:rsid w:val="00380C68"/>
    <w:rsid w:val="003810CD"/>
    <w:rsid w:val="00381B11"/>
    <w:rsid w:val="00382543"/>
    <w:rsid w:val="00382C61"/>
    <w:rsid w:val="0038314E"/>
    <w:rsid w:val="003835CB"/>
    <w:rsid w:val="003839BE"/>
    <w:rsid w:val="00383DE9"/>
    <w:rsid w:val="00383F38"/>
    <w:rsid w:val="003849D9"/>
    <w:rsid w:val="00384B2D"/>
    <w:rsid w:val="00385676"/>
    <w:rsid w:val="0038616A"/>
    <w:rsid w:val="00386B9E"/>
    <w:rsid w:val="00386EF1"/>
    <w:rsid w:val="0038784A"/>
    <w:rsid w:val="00387CFB"/>
    <w:rsid w:val="00387DF0"/>
    <w:rsid w:val="0039094B"/>
    <w:rsid w:val="00390CC8"/>
    <w:rsid w:val="00390D08"/>
    <w:rsid w:val="00390D0B"/>
    <w:rsid w:val="00391916"/>
    <w:rsid w:val="00391F9C"/>
    <w:rsid w:val="0039220D"/>
    <w:rsid w:val="00393678"/>
    <w:rsid w:val="003939CC"/>
    <w:rsid w:val="0039444D"/>
    <w:rsid w:val="00394C5B"/>
    <w:rsid w:val="003952BC"/>
    <w:rsid w:val="0039601F"/>
    <w:rsid w:val="00396823"/>
    <w:rsid w:val="00396E33"/>
    <w:rsid w:val="00396E67"/>
    <w:rsid w:val="00396FFF"/>
    <w:rsid w:val="00397112"/>
    <w:rsid w:val="003971F2"/>
    <w:rsid w:val="003976FE"/>
    <w:rsid w:val="00397978"/>
    <w:rsid w:val="003A077F"/>
    <w:rsid w:val="003A0C29"/>
    <w:rsid w:val="003A143E"/>
    <w:rsid w:val="003A147F"/>
    <w:rsid w:val="003A1ED8"/>
    <w:rsid w:val="003A2599"/>
    <w:rsid w:val="003A2A56"/>
    <w:rsid w:val="003A2D88"/>
    <w:rsid w:val="003A2DC3"/>
    <w:rsid w:val="003A305D"/>
    <w:rsid w:val="003A3BD4"/>
    <w:rsid w:val="003A43DB"/>
    <w:rsid w:val="003A469E"/>
    <w:rsid w:val="003A46B7"/>
    <w:rsid w:val="003A493F"/>
    <w:rsid w:val="003A498B"/>
    <w:rsid w:val="003A4B2F"/>
    <w:rsid w:val="003A4EC2"/>
    <w:rsid w:val="003A521A"/>
    <w:rsid w:val="003A52E6"/>
    <w:rsid w:val="003A689A"/>
    <w:rsid w:val="003A6D65"/>
    <w:rsid w:val="003A73A2"/>
    <w:rsid w:val="003A7520"/>
    <w:rsid w:val="003A75AF"/>
    <w:rsid w:val="003B00BA"/>
    <w:rsid w:val="003B013B"/>
    <w:rsid w:val="003B0952"/>
    <w:rsid w:val="003B0A3C"/>
    <w:rsid w:val="003B100F"/>
    <w:rsid w:val="003B12CD"/>
    <w:rsid w:val="003B152D"/>
    <w:rsid w:val="003B15A8"/>
    <w:rsid w:val="003B164D"/>
    <w:rsid w:val="003B1661"/>
    <w:rsid w:val="003B19AD"/>
    <w:rsid w:val="003B1D98"/>
    <w:rsid w:val="003B1DB0"/>
    <w:rsid w:val="003B2643"/>
    <w:rsid w:val="003B293B"/>
    <w:rsid w:val="003B2CEA"/>
    <w:rsid w:val="003B2F24"/>
    <w:rsid w:val="003B30AB"/>
    <w:rsid w:val="003B317F"/>
    <w:rsid w:val="003B3E85"/>
    <w:rsid w:val="003B407D"/>
    <w:rsid w:val="003B40F1"/>
    <w:rsid w:val="003B411D"/>
    <w:rsid w:val="003B436B"/>
    <w:rsid w:val="003B4878"/>
    <w:rsid w:val="003B496A"/>
    <w:rsid w:val="003B4D0E"/>
    <w:rsid w:val="003B519F"/>
    <w:rsid w:val="003B55D3"/>
    <w:rsid w:val="003B561B"/>
    <w:rsid w:val="003B5BBD"/>
    <w:rsid w:val="003B60EF"/>
    <w:rsid w:val="003B61B6"/>
    <w:rsid w:val="003B6EFE"/>
    <w:rsid w:val="003C0510"/>
    <w:rsid w:val="003C0A0C"/>
    <w:rsid w:val="003C0D42"/>
    <w:rsid w:val="003C1837"/>
    <w:rsid w:val="003C1F7D"/>
    <w:rsid w:val="003C22CB"/>
    <w:rsid w:val="003C2555"/>
    <w:rsid w:val="003C287B"/>
    <w:rsid w:val="003C28AA"/>
    <w:rsid w:val="003C329E"/>
    <w:rsid w:val="003C330C"/>
    <w:rsid w:val="003C3DAE"/>
    <w:rsid w:val="003C4AD3"/>
    <w:rsid w:val="003C5ECD"/>
    <w:rsid w:val="003C6219"/>
    <w:rsid w:val="003C649C"/>
    <w:rsid w:val="003C65F2"/>
    <w:rsid w:val="003C68D4"/>
    <w:rsid w:val="003C69C6"/>
    <w:rsid w:val="003C7D30"/>
    <w:rsid w:val="003D02DF"/>
    <w:rsid w:val="003D08CE"/>
    <w:rsid w:val="003D1738"/>
    <w:rsid w:val="003D1B06"/>
    <w:rsid w:val="003D1DEB"/>
    <w:rsid w:val="003D1F29"/>
    <w:rsid w:val="003D21E1"/>
    <w:rsid w:val="003D2363"/>
    <w:rsid w:val="003D2595"/>
    <w:rsid w:val="003D28A6"/>
    <w:rsid w:val="003D2B19"/>
    <w:rsid w:val="003D3400"/>
    <w:rsid w:val="003D3CBE"/>
    <w:rsid w:val="003D4486"/>
    <w:rsid w:val="003D4A5F"/>
    <w:rsid w:val="003D4D71"/>
    <w:rsid w:val="003D4EC4"/>
    <w:rsid w:val="003D52A9"/>
    <w:rsid w:val="003D64A9"/>
    <w:rsid w:val="003D6A23"/>
    <w:rsid w:val="003D6DB1"/>
    <w:rsid w:val="003D6DDB"/>
    <w:rsid w:val="003D7013"/>
    <w:rsid w:val="003D777A"/>
    <w:rsid w:val="003D7EC7"/>
    <w:rsid w:val="003E0A04"/>
    <w:rsid w:val="003E0A11"/>
    <w:rsid w:val="003E0A2C"/>
    <w:rsid w:val="003E2264"/>
    <w:rsid w:val="003E23E5"/>
    <w:rsid w:val="003E25AB"/>
    <w:rsid w:val="003E25E5"/>
    <w:rsid w:val="003E3F0F"/>
    <w:rsid w:val="003E44CD"/>
    <w:rsid w:val="003E4C7B"/>
    <w:rsid w:val="003E503B"/>
    <w:rsid w:val="003E52F4"/>
    <w:rsid w:val="003E5670"/>
    <w:rsid w:val="003E578C"/>
    <w:rsid w:val="003E64DF"/>
    <w:rsid w:val="003E64E3"/>
    <w:rsid w:val="003E6E47"/>
    <w:rsid w:val="003E790C"/>
    <w:rsid w:val="003E7C17"/>
    <w:rsid w:val="003E7C94"/>
    <w:rsid w:val="003F03AC"/>
    <w:rsid w:val="003F07A5"/>
    <w:rsid w:val="003F0BB5"/>
    <w:rsid w:val="003F0D74"/>
    <w:rsid w:val="003F0DB7"/>
    <w:rsid w:val="003F2187"/>
    <w:rsid w:val="003F2219"/>
    <w:rsid w:val="003F28FD"/>
    <w:rsid w:val="003F2D03"/>
    <w:rsid w:val="003F3536"/>
    <w:rsid w:val="003F3672"/>
    <w:rsid w:val="003F3E27"/>
    <w:rsid w:val="003F4183"/>
    <w:rsid w:val="003F4403"/>
    <w:rsid w:val="003F4409"/>
    <w:rsid w:val="003F46EF"/>
    <w:rsid w:val="003F4993"/>
    <w:rsid w:val="003F5187"/>
    <w:rsid w:val="003F5BF1"/>
    <w:rsid w:val="003F5E01"/>
    <w:rsid w:val="003F6B28"/>
    <w:rsid w:val="003F70EE"/>
    <w:rsid w:val="00400086"/>
    <w:rsid w:val="004005A3"/>
    <w:rsid w:val="0040066D"/>
    <w:rsid w:val="00401C08"/>
    <w:rsid w:val="00401D2B"/>
    <w:rsid w:val="00401E10"/>
    <w:rsid w:val="004021EE"/>
    <w:rsid w:val="004026F1"/>
    <w:rsid w:val="004026FB"/>
    <w:rsid w:val="004027DB"/>
    <w:rsid w:val="00402EB1"/>
    <w:rsid w:val="0040300B"/>
    <w:rsid w:val="00403FDE"/>
    <w:rsid w:val="0040416A"/>
    <w:rsid w:val="00404781"/>
    <w:rsid w:val="0040483E"/>
    <w:rsid w:val="00404C7D"/>
    <w:rsid w:val="00405065"/>
    <w:rsid w:val="0040537A"/>
    <w:rsid w:val="0040538B"/>
    <w:rsid w:val="0040551B"/>
    <w:rsid w:val="004058AB"/>
    <w:rsid w:val="0040592C"/>
    <w:rsid w:val="0040604E"/>
    <w:rsid w:val="004068B0"/>
    <w:rsid w:val="00406CBA"/>
    <w:rsid w:val="00407881"/>
    <w:rsid w:val="004108F3"/>
    <w:rsid w:val="00410924"/>
    <w:rsid w:val="00410FD6"/>
    <w:rsid w:val="0041138E"/>
    <w:rsid w:val="00411395"/>
    <w:rsid w:val="0041171F"/>
    <w:rsid w:val="00411AEF"/>
    <w:rsid w:val="00411DEE"/>
    <w:rsid w:val="00412DDC"/>
    <w:rsid w:val="00412F73"/>
    <w:rsid w:val="00413437"/>
    <w:rsid w:val="0041421E"/>
    <w:rsid w:val="0041468E"/>
    <w:rsid w:val="00414D66"/>
    <w:rsid w:val="00415D63"/>
    <w:rsid w:val="00416554"/>
    <w:rsid w:val="00416E75"/>
    <w:rsid w:val="00417387"/>
    <w:rsid w:val="00420227"/>
    <w:rsid w:val="00420761"/>
    <w:rsid w:val="00420C40"/>
    <w:rsid w:val="0042131D"/>
    <w:rsid w:val="00421521"/>
    <w:rsid w:val="004216C1"/>
    <w:rsid w:val="004222E0"/>
    <w:rsid w:val="00423350"/>
    <w:rsid w:val="00423534"/>
    <w:rsid w:val="0042399B"/>
    <w:rsid w:val="00423C59"/>
    <w:rsid w:val="0042402D"/>
    <w:rsid w:val="00424815"/>
    <w:rsid w:val="00424B14"/>
    <w:rsid w:val="00424EFD"/>
    <w:rsid w:val="00425183"/>
    <w:rsid w:val="00425525"/>
    <w:rsid w:val="004257C2"/>
    <w:rsid w:val="00425A86"/>
    <w:rsid w:val="004265A2"/>
    <w:rsid w:val="004266A5"/>
    <w:rsid w:val="00426828"/>
    <w:rsid w:val="004268C6"/>
    <w:rsid w:val="00426CF7"/>
    <w:rsid w:val="00426FB4"/>
    <w:rsid w:val="00427025"/>
    <w:rsid w:val="004270A1"/>
    <w:rsid w:val="004275A6"/>
    <w:rsid w:val="0042762A"/>
    <w:rsid w:val="00427649"/>
    <w:rsid w:val="00427F87"/>
    <w:rsid w:val="0043051E"/>
    <w:rsid w:val="00430FBB"/>
    <w:rsid w:val="004311C6"/>
    <w:rsid w:val="0043158C"/>
    <w:rsid w:val="004315B5"/>
    <w:rsid w:val="00431D7A"/>
    <w:rsid w:val="00431D93"/>
    <w:rsid w:val="00432036"/>
    <w:rsid w:val="00432752"/>
    <w:rsid w:val="00433680"/>
    <w:rsid w:val="00433DD0"/>
    <w:rsid w:val="00434028"/>
    <w:rsid w:val="00434268"/>
    <w:rsid w:val="00434C9E"/>
    <w:rsid w:val="00434F68"/>
    <w:rsid w:val="00435117"/>
    <w:rsid w:val="0043542F"/>
    <w:rsid w:val="00435CF5"/>
    <w:rsid w:val="00436083"/>
    <w:rsid w:val="00436204"/>
    <w:rsid w:val="00436533"/>
    <w:rsid w:val="00437239"/>
    <w:rsid w:val="00437256"/>
    <w:rsid w:val="0043765D"/>
    <w:rsid w:val="00437D2B"/>
    <w:rsid w:val="00440BFA"/>
    <w:rsid w:val="00440CC9"/>
    <w:rsid w:val="00441036"/>
    <w:rsid w:val="00441328"/>
    <w:rsid w:val="00441497"/>
    <w:rsid w:val="00441AE3"/>
    <w:rsid w:val="00442991"/>
    <w:rsid w:val="00442C65"/>
    <w:rsid w:val="00444216"/>
    <w:rsid w:val="00444804"/>
    <w:rsid w:val="004449C7"/>
    <w:rsid w:val="00446378"/>
    <w:rsid w:val="00446520"/>
    <w:rsid w:val="00446F59"/>
    <w:rsid w:val="004479BA"/>
    <w:rsid w:val="00447CA7"/>
    <w:rsid w:val="0045076A"/>
    <w:rsid w:val="00450DF0"/>
    <w:rsid w:val="00450E56"/>
    <w:rsid w:val="0045101D"/>
    <w:rsid w:val="004517C6"/>
    <w:rsid w:val="00452789"/>
    <w:rsid w:val="00452906"/>
    <w:rsid w:val="00452B8B"/>
    <w:rsid w:val="00452E14"/>
    <w:rsid w:val="004532A5"/>
    <w:rsid w:val="004539F8"/>
    <w:rsid w:val="00453AAF"/>
    <w:rsid w:val="00453B87"/>
    <w:rsid w:val="00453F4A"/>
    <w:rsid w:val="00454111"/>
    <w:rsid w:val="0045439B"/>
    <w:rsid w:val="00454519"/>
    <w:rsid w:val="004546B5"/>
    <w:rsid w:val="00454E4D"/>
    <w:rsid w:val="00455B48"/>
    <w:rsid w:val="00455C03"/>
    <w:rsid w:val="004561C5"/>
    <w:rsid w:val="0045675F"/>
    <w:rsid w:val="00456B18"/>
    <w:rsid w:val="00456E22"/>
    <w:rsid w:val="00457816"/>
    <w:rsid w:val="00457E70"/>
    <w:rsid w:val="00460587"/>
    <w:rsid w:val="004609FB"/>
    <w:rsid w:val="00460D26"/>
    <w:rsid w:val="00461AF6"/>
    <w:rsid w:val="00462000"/>
    <w:rsid w:val="004622A0"/>
    <w:rsid w:val="00462546"/>
    <w:rsid w:val="00462AA7"/>
    <w:rsid w:val="00462C4E"/>
    <w:rsid w:val="004633B2"/>
    <w:rsid w:val="0046452E"/>
    <w:rsid w:val="004646FB"/>
    <w:rsid w:val="004648CB"/>
    <w:rsid w:val="00464C46"/>
    <w:rsid w:val="00464D92"/>
    <w:rsid w:val="00464DA2"/>
    <w:rsid w:val="00464E9E"/>
    <w:rsid w:val="00465125"/>
    <w:rsid w:val="00465D03"/>
    <w:rsid w:val="00465D87"/>
    <w:rsid w:val="00466763"/>
    <w:rsid w:val="00466D29"/>
    <w:rsid w:val="0046703B"/>
    <w:rsid w:val="00467821"/>
    <w:rsid w:val="00467926"/>
    <w:rsid w:val="00467C2F"/>
    <w:rsid w:val="00470C86"/>
    <w:rsid w:val="00471072"/>
    <w:rsid w:val="004711D6"/>
    <w:rsid w:val="00471228"/>
    <w:rsid w:val="00471C21"/>
    <w:rsid w:val="004728D3"/>
    <w:rsid w:val="00472B2D"/>
    <w:rsid w:val="00472CDC"/>
    <w:rsid w:val="004731FA"/>
    <w:rsid w:val="0047329D"/>
    <w:rsid w:val="004747B6"/>
    <w:rsid w:val="00474819"/>
    <w:rsid w:val="00474FCC"/>
    <w:rsid w:val="0047585E"/>
    <w:rsid w:val="004760E9"/>
    <w:rsid w:val="00476582"/>
    <w:rsid w:val="00476B53"/>
    <w:rsid w:val="00476EE1"/>
    <w:rsid w:val="00476F16"/>
    <w:rsid w:val="0047784E"/>
    <w:rsid w:val="00477AB9"/>
    <w:rsid w:val="004809B0"/>
    <w:rsid w:val="00480CEC"/>
    <w:rsid w:val="00480D8B"/>
    <w:rsid w:val="00480E70"/>
    <w:rsid w:val="0048113D"/>
    <w:rsid w:val="004811D6"/>
    <w:rsid w:val="004814CA"/>
    <w:rsid w:val="004821F7"/>
    <w:rsid w:val="004825DA"/>
    <w:rsid w:val="00483481"/>
    <w:rsid w:val="004834E0"/>
    <w:rsid w:val="0048357C"/>
    <w:rsid w:val="00483B01"/>
    <w:rsid w:val="00483BD6"/>
    <w:rsid w:val="00484734"/>
    <w:rsid w:val="00484F7F"/>
    <w:rsid w:val="0048508B"/>
    <w:rsid w:val="004855D9"/>
    <w:rsid w:val="004859F0"/>
    <w:rsid w:val="00485FC2"/>
    <w:rsid w:val="0048615C"/>
    <w:rsid w:val="00486235"/>
    <w:rsid w:val="004864DC"/>
    <w:rsid w:val="00486752"/>
    <w:rsid w:val="00486786"/>
    <w:rsid w:val="004869DA"/>
    <w:rsid w:val="00486B84"/>
    <w:rsid w:val="00486BAB"/>
    <w:rsid w:val="00486E44"/>
    <w:rsid w:val="00487187"/>
    <w:rsid w:val="004878A9"/>
    <w:rsid w:val="00487CC5"/>
    <w:rsid w:val="00487E8F"/>
    <w:rsid w:val="00490DBC"/>
    <w:rsid w:val="00490F1C"/>
    <w:rsid w:val="004916F2"/>
    <w:rsid w:val="00492A94"/>
    <w:rsid w:val="00492C5F"/>
    <w:rsid w:val="00492FDB"/>
    <w:rsid w:val="00493048"/>
    <w:rsid w:val="004930BF"/>
    <w:rsid w:val="00493649"/>
    <w:rsid w:val="004939F5"/>
    <w:rsid w:val="00493FD0"/>
    <w:rsid w:val="0049444A"/>
    <w:rsid w:val="0049447D"/>
    <w:rsid w:val="004944A8"/>
    <w:rsid w:val="00494680"/>
    <w:rsid w:val="00494929"/>
    <w:rsid w:val="00494B47"/>
    <w:rsid w:val="004950EF"/>
    <w:rsid w:val="00495382"/>
    <w:rsid w:val="00496045"/>
    <w:rsid w:val="004966C5"/>
    <w:rsid w:val="004967AF"/>
    <w:rsid w:val="00496ADB"/>
    <w:rsid w:val="00496D7C"/>
    <w:rsid w:val="00496E31"/>
    <w:rsid w:val="0049708B"/>
    <w:rsid w:val="004970E9"/>
    <w:rsid w:val="00497881"/>
    <w:rsid w:val="0049790B"/>
    <w:rsid w:val="00497D02"/>
    <w:rsid w:val="00497D20"/>
    <w:rsid w:val="004A045C"/>
    <w:rsid w:val="004A0D4C"/>
    <w:rsid w:val="004A130B"/>
    <w:rsid w:val="004A2283"/>
    <w:rsid w:val="004A272A"/>
    <w:rsid w:val="004A27AF"/>
    <w:rsid w:val="004A2894"/>
    <w:rsid w:val="004A2992"/>
    <w:rsid w:val="004A2AC2"/>
    <w:rsid w:val="004A2D34"/>
    <w:rsid w:val="004A3527"/>
    <w:rsid w:val="004A36C0"/>
    <w:rsid w:val="004A3A0B"/>
    <w:rsid w:val="004A3BE9"/>
    <w:rsid w:val="004A3DFF"/>
    <w:rsid w:val="004A4DD4"/>
    <w:rsid w:val="004A4E47"/>
    <w:rsid w:val="004A560C"/>
    <w:rsid w:val="004A5614"/>
    <w:rsid w:val="004A5B67"/>
    <w:rsid w:val="004A62A1"/>
    <w:rsid w:val="004A63E0"/>
    <w:rsid w:val="004A71C0"/>
    <w:rsid w:val="004A738D"/>
    <w:rsid w:val="004A7476"/>
    <w:rsid w:val="004A7575"/>
    <w:rsid w:val="004B1872"/>
    <w:rsid w:val="004B192B"/>
    <w:rsid w:val="004B29B1"/>
    <w:rsid w:val="004B2EFE"/>
    <w:rsid w:val="004B32A6"/>
    <w:rsid w:val="004B47BC"/>
    <w:rsid w:val="004B534B"/>
    <w:rsid w:val="004B54E9"/>
    <w:rsid w:val="004B6067"/>
    <w:rsid w:val="004B62F1"/>
    <w:rsid w:val="004B660C"/>
    <w:rsid w:val="004B72DD"/>
    <w:rsid w:val="004C0861"/>
    <w:rsid w:val="004C0899"/>
    <w:rsid w:val="004C15C0"/>
    <w:rsid w:val="004C19BB"/>
    <w:rsid w:val="004C22C8"/>
    <w:rsid w:val="004C2C88"/>
    <w:rsid w:val="004C39BF"/>
    <w:rsid w:val="004C4012"/>
    <w:rsid w:val="004C4200"/>
    <w:rsid w:val="004C5236"/>
    <w:rsid w:val="004C6315"/>
    <w:rsid w:val="004C652C"/>
    <w:rsid w:val="004C68CC"/>
    <w:rsid w:val="004C69DA"/>
    <w:rsid w:val="004C6B38"/>
    <w:rsid w:val="004C7082"/>
    <w:rsid w:val="004C723D"/>
    <w:rsid w:val="004C7405"/>
    <w:rsid w:val="004C77E1"/>
    <w:rsid w:val="004C7E88"/>
    <w:rsid w:val="004D004E"/>
    <w:rsid w:val="004D089B"/>
    <w:rsid w:val="004D0B2E"/>
    <w:rsid w:val="004D0F1D"/>
    <w:rsid w:val="004D1A39"/>
    <w:rsid w:val="004D1FC2"/>
    <w:rsid w:val="004D21FA"/>
    <w:rsid w:val="004D2AF2"/>
    <w:rsid w:val="004D2C4C"/>
    <w:rsid w:val="004D344E"/>
    <w:rsid w:val="004D3576"/>
    <w:rsid w:val="004D3913"/>
    <w:rsid w:val="004D3BE3"/>
    <w:rsid w:val="004D4D6C"/>
    <w:rsid w:val="004D502F"/>
    <w:rsid w:val="004D5A28"/>
    <w:rsid w:val="004D5A7C"/>
    <w:rsid w:val="004D5E53"/>
    <w:rsid w:val="004D6401"/>
    <w:rsid w:val="004D6622"/>
    <w:rsid w:val="004D6A90"/>
    <w:rsid w:val="004D6AEE"/>
    <w:rsid w:val="004D6F4B"/>
    <w:rsid w:val="004D7250"/>
    <w:rsid w:val="004E085E"/>
    <w:rsid w:val="004E09E7"/>
    <w:rsid w:val="004E109D"/>
    <w:rsid w:val="004E130D"/>
    <w:rsid w:val="004E14CC"/>
    <w:rsid w:val="004E154D"/>
    <w:rsid w:val="004E1781"/>
    <w:rsid w:val="004E183A"/>
    <w:rsid w:val="004E2285"/>
    <w:rsid w:val="004E2C2B"/>
    <w:rsid w:val="004E2FA5"/>
    <w:rsid w:val="004E3808"/>
    <w:rsid w:val="004E39EF"/>
    <w:rsid w:val="004E5F35"/>
    <w:rsid w:val="004E6153"/>
    <w:rsid w:val="004E62D0"/>
    <w:rsid w:val="004E66D8"/>
    <w:rsid w:val="004E673C"/>
    <w:rsid w:val="004E680D"/>
    <w:rsid w:val="004E76C0"/>
    <w:rsid w:val="004E7C7C"/>
    <w:rsid w:val="004F00B7"/>
    <w:rsid w:val="004F01C9"/>
    <w:rsid w:val="004F0EBD"/>
    <w:rsid w:val="004F13BA"/>
    <w:rsid w:val="004F1ADE"/>
    <w:rsid w:val="004F1EBC"/>
    <w:rsid w:val="004F24EB"/>
    <w:rsid w:val="004F27EA"/>
    <w:rsid w:val="004F2F3F"/>
    <w:rsid w:val="004F4052"/>
    <w:rsid w:val="004F4FEF"/>
    <w:rsid w:val="004F5182"/>
    <w:rsid w:val="004F53D2"/>
    <w:rsid w:val="004F5EE2"/>
    <w:rsid w:val="004F5F39"/>
    <w:rsid w:val="004F62B6"/>
    <w:rsid w:val="004F67F8"/>
    <w:rsid w:val="004F78AC"/>
    <w:rsid w:val="004F7A19"/>
    <w:rsid w:val="004F7BE4"/>
    <w:rsid w:val="004F7F9D"/>
    <w:rsid w:val="005000AD"/>
    <w:rsid w:val="005006BA"/>
    <w:rsid w:val="0050078A"/>
    <w:rsid w:val="00500D76"/>
    <w:rsid w:val="00500E44"/>
    <w:rsid w:val="00500F60"/>
    <w:rsid w:val="005017B2"/>
    <w:rsid w:val="0050236C"/>
    <w:rsid w:val="005025D6"/>
    <w:rsid w:val="00503118"/>
    <w:rsid w:val="005039D4"/>
    <w:rsid w:val="00503B11"/>
    <w:rsid w:val="00504050"/>
    <w:rsid w:val="00504076"/>
    <w:rsid w:val="00504C0B"/>
    <w:rsid w:val="0050524E"/>
    <w:rsid w:val="005053D0"/>
    <w:rsid w:val="00505763"/>
    <w:rsid w:val="005057F6"/>
    <w:rsid w:val="00505E84"/>
    <w:rsid w:val="00506B3E"/>
    <w:rsid w:val="0050734E"/>
    <w:rsid w:val="005073D9"/>
    <w:rsid w:val="00507D78"/>
    <w:rsid w:val="00510B59"/>
    <w:rsid w:val="005111E0"/>
    <w:rsid w:val="00511545"/>
    <w:rsid w:val="00512250"/>
    <w:rsid w:val="00512A12"/>
    <w:rsid w:val="00512BB4"/>
    <w:rsid w:val="0051373A"/>
    <w:rsid w:val="00513748"/>
    <w:rsid w:val="00513BFC"/>
    <w:rsid w:val="00513ECF"/>
    <w:rsid w:val="005141B3"/>
    <w:rsid w:val="005142AA"/>
    <w:rsid w:val="00514C6C"/>
    <w:rsid w:val="0051511A"/>
    <w:rsid w:val="00515BDE"/>
    <w:rsid w:val="00516962"/>
    <w:rsid w:val="00516997"/>
    <w:rsid w:val="00517020"/>
    <w:rsid w:val="00517AC6"/>
    <w:rsid w:val="00517AD6"/>
    <w:rsid w:val="00517B3A"/>
    <w:rsid w:val="00517F2E"/>
    <w:rsid w:val="00517FF8"/>
    <w:rsid w:val="00520095"/>
    <w:rsid w:val="00520157"/>
    <w:rsid w:val="0052035D"/>
    <w:rsid w:val="00520541"/>
    <w:rsid w:val="005230D0"/>
    <w:rsid w:val="0052346F"/>
    <w:rsid w:val="0052386E"/>
    <w:rsid w:val="0052394C"/>
    <w:rsid w:val="00523E81"/>
    <w:rsid w:val="00523E9D"/>
    <w:rsid w:val="005245B2"/>
    <w:rsid w:val="005246C3"/>
    <w:rsid w:val="0052492D"/>
    <w:rsid w:val="005249B4"/>
    <w:rsid w:val="00524F0F"/>
    <w:rsid w:val="005257CE"/>
    <w:rsid w:val="005259FB"/>
    <w:rsid w:val="00526444"/>
    <w:rsid w:val="00526E39"/>
    <w:rsid w:val="005273F6"/>
    <w:rsid w:val="00527B6D"/>
    <w:rsid w:val="00527BD4"/>
    <w:rsid w:val="00527F1A"/>
    <w:rsid w:val="00530006"/>
    <w:rsid w:val="00530952"/>
    <w:rsid w:val="00530F2B"/>
    <w:rsid w:val="00531456"/>
    <w:rsid w:val="00531CEA"/>
    <w:rsid w:val="00532A96"/>
    <w:rsid w:val="00532ABC"/>
    <w:rsid w:val="00533049"/>
    <w:rsid w:val="005339EE"/>
    <w:rsid w:val="00533CFC"/>
    <w:rsid w:val="00533F2B"/>
    <w:rsid w:val="00534713"/>
    <w:rsid w:val="00535183"/>
    <w:rsid w:val="00535428"/>
    <w:rsid w:val="00535564"/>
    <w:rsid w:val="005359C2"/>
    <w:rsid w:val="00535C2D"/>
    <w:rsid w:val="005360C1"/>
    <w:rsid w:val="00536789"/>
    <w:rsid w:val="00536E97"/>
    <w:rsid w:val="005374BA"/>
    <w:rsid w:val="00537828"/>
    <w:rsid w:val="00537A48"/>
    <w:rsid w:val="00537E6C"/>
    <w:rsid w:val="00541507"/>
    <w:rsid w:val="00541593"/>
    <w:rsid w:val="00541B99"/>
    <w:rsid w:val="0054248D"/>
    <w:rsid w:val="0054256B"/>
    <w:rsid w:val="005426B7"/>
    <w:rsid w:val="005429C2"/>
    <w:rsid w:val="00543803"/>
    <w:rsid w:val="005439BD"/>
    <w:rsid w:val="00543C1B"/>
    <w:rsid w:val="00543EF3"/>
    <w:rsid w:val="005442B3"/>
    <w:rsid w:val="00544333"/>
    <w:rsid w:val="00544877"/>
    <w:rsid w:val="00545183"/>
    <w:rsid w:val="0054555C"/>
    <w:rsid w:val="00546372"/>
    <w:rsid w:val="00546534"/>
    <w:rsid w:val="005466C8"/>
    <w:rsid w:val="005466D6"/>
    <w:rsid w:val="00546E31"/>
    <w:rsid w:val="0054708F"/>
    <w:rsid w:val="00547245"/>
    <w:rsid w:val="00547C83"/>
    <w:rsid w:val="00547DDE"/>
    <w:rsid w:val="00550180"/>
    <w:rsid w:val="00550281"/>
    <w:rsid w:val="005508E9"/>
    <w:rsid w:val="00550979"/>
    <w:rsid w:val="00550D4D"/>
    <w:rsid w:val="00551118"/>
    <w:rsid w:val="00551187"/>
    <w:rsid w:val="00551E91"/>
    <w:rsid w:val="00551EC6"/>
    <w:rsid w:val="0055341B"/>
    <w:rsid w:val="005534AC"/>
    <w:rsid w:val="00553729"/>
    <w:rsid w:val="00553830"/>
    <w:rsid w:val="00553AD5"/>
    <w:rsid w:val="00554144"/>
    <w:rsid w:val="00554154"/>
    <w:rsid w:val="005545DC"/>
    <w:rsid w:val="0055462F"/>
    <w:rsid w:val="00554809"/>
    <w:rsid w:val="005551E6"/>
    <w:rsid w:val="0055658B"/>
    <w:rsid w:val="00556C09"/>
    <w:rsid w:val="00556CC9"/>
    <w:rsid w:val="00556DAD"/>
    <w:rsid w:val="00556EDF"/>
    <w:rsid w:val="00557474"/>
    <w:rsid w:val="00557667"/>
    <w:rsid w:val="005577F2"/>
    <w:rsid w:val="00557F5B"/>
    <w:rsid w:val="00560832"/>
    <w:rsid w:val="00560D63"/>
    <w:rsid w:val="00560FB4"/>
    <w:rsid w:val="00561236"/>
    <w:rsid w:val="0056146C"/>
    <w:rsid w:val="00561729"/>
    <w:rsid w:val="005621A7"/>
    <w:rsid w:val="00562D83"/>
    <w:rsid w:val="00563073"/>
    <w:rsid w:val="005630F2"/>
    <w:rsid w:val="005630F4"/>
    <w:rsid w:val="005639AB"/>
    <w:rsid w:val="00563B01"/>
    <w:rsid w:val="00563BDA"/>
    <w:rsid w:val="00564131"/>
    <w:rsid w:val="0056474D"/>
    <w:rsid w:val="00564959"/>
    <w:rsid w:val="00564F67"/>
    <w:rsid w:val="0056562F"/>
    <w:rsid w:val="00565641"/>
    <w:rsid w:val="00565AA5"/>
    <w:rsid w:val="00565D1A"/>
    <w:rsid w:val="00566098"/>
    <w:rsid w:val="00566F96"/>
    <w:rsid w:val="005672B0"/>
    <w:rsid w:val="005679BA"/>
    <w:rsid w:val="00567E27"/>
    <w:rsid w:val="0057087C"/>
    <w:rsid w:val="00570D3B"/>
    <w:rsid w:val="00571625"/>
    <w:rsid w:val="00571B6C"/>
    <w:rsid w:val="00572CC2"/>
    <w:rsid w:val="00572FDF"/>
    <w:rsid w:val="005731FC"/>
    <w:rsid w:val="00573749"/>
    <w:rsid w:val="00574279"/>
    <w:rsid w:val="0057469E"/>
    <w:rsid w:val="00574777"/>
    <w:rsid w:val="0057492E"/>
    <w:rsid w:val="00574C39"/>
    <w:rsid w:val="005751D9"/>
    <w:rsid w:val="00575894"/>
    <w:rsid w:val="00575B21"/>
    <w:rsid w:val="00575C28"/>
    <w:rsid w:val="005762D9"/>
    <w:rsid w:val="0057689E"/>
    <w:rsid w:val="0058038C"/>
    <w:rsid w:val="0058066B"/>
    <w:rsid w:val="00580AE2"/>
    <w:rsid w:val="00581454"/>
    <w:rsid w:val="005827D4"/>
    <w:rsid w:val="00582932"/>
    <w:rsid w:val="00582E7A"/>
    <w:rsid w:val="00582F6F"/>
    <w:rsid w:val="00583047"/>
    <w:rsid w:val="00583A84"/>
    <w:rsid w:val="00584070"/>
    <w:rsid w:val="005842D3"/>
    <w:rsid w:val="005842D9"/>
    <w:rsid w:val="005845C6"/>
    <w:rsid w:val="005849BB"/>
    <w:rsid w:val="005855DF"/>
    <w:rsid w:val="00585CBB"/>
    <w:rsid w:val="00586359"/>
    <w:rsid w:val="00586599"/>
    <w:rsid w:val="0058693A"/>
    <w:rsid w:val="005869F1"/>
    <w:rsid w:val="00586C35"/>
    <w:rsid w:val="005873BD"/>
    <w:rsid w:val="005875F0"/>
    <w:rsid w:val="00587A9E"/>
    <w:rsid w:val="00587C39"/>
    <w:rsid w:val="00587DC9"/>
    <w:rsid w:val="00587FCE"/>
    <w:rsid w:val="005902EC"/>
    <w:rsid w:val="0059091D"/>
    <w:rsid w:val="00590B36"/>
    <w:rsid w:val="00591175"/>
    <w:rsid w:val="005912FC"/>
    <w:rsid w:val="00591694"/>
    <w:rsid w:val="0059179D"/>
    <w:rsid w:val="005918EB"/>
    <w:rsid w:val="00591A0E"/>
    <w:rsid w:val="00591A88"/>
    <w:rsid w:val="00591B4E"/>
    <w:rsid w:val="00592BB8"/>
    <w:rsid w:val="00593969"/>
    <w:rsid w:val="00593E1A"/>
    <w:rsid w:val="00593FB0"/>
    <w:rsid w:val="00594677"/>
    <w:rsid w:val="0059491E"/>
    <w:rsid w:val="00594C6F"/>
    <w:rsid w:val="00594D98"/>
    <w:rsid w:val="0059589C"/>
    <w:rsid w:val="005958F5"/>
    <w:rsid w:val="0059597A"/>
    <w:rsid w:val="00595A05"/>
    <w:rsid w:val="00595B56"/>
    <w:rsid w:val="00595D6C"/>
    <w:rsid w:val="00596445"/>
    <w:rsid w:val="00596BBE"/>
    <w:rsid w:val="00597955"/>
    <w:rsid w:val="00597A07"/>
    <w:rsid w:val="005A01C8"/>
    <w:rsid w:val="005A01DE"/>
    <w:rsid w:val="005A02A1"/>
    <w:rsid w:val="005A0759"/>
    <w:rsid w:val="005A09F1"/>
    <w:rsid w:val="005A0E01"/>
    <w:rsid w:val="005A0E37"/>
    <w:rsid w:val="005A1461"/>
    <w:rsid w:val="005A1572"/>
    <w:rsid w:val="005A1C11"/>
    <w:rsid w:val="005A25A4"/>
    <w:rsid w:val="005A29D4"/>
    <w:rsid w:val="005A33CF"/>
    <w:rsid w:val="005A35C7"/>
    <w:rsid w:val="005A43A8"/>
    <w:rsid w:val="005A4952"/>
    <w:rsid w:val="005A4AE6"/>
    <w:rsid w:val="005A4B11"/>
    <w:rsid w:val="005A5CEE"/>
    <w:rsid w:val="005A5E2E"/>
    <w:rsid w:val="005A630C"/>
    <w:rsid w:val="005A6757"/>
    <w:rsid w:val="005A6B7D"/>
    <w:rsid w:val="005A6F0F"/>
    <w:rsid w:val="005A6F86"/>
    <w:rsid w:val="005A7070"/>
    <w:rsid w:val="005A71A0"/>
    <w:rsid w:val="005A7472"/>
    <w:rsid w:val="005A74CA"/>
    <w:rsid w:val="005A7752"/>
    <w:rsid w:val="005A794A"/>
    <w:rsid w:val="005A7AC1"/>
    <w:rsid w:val="005B0120"/>
    <w:rsid w:val="005B0306"/>
    <w:rsid w:val="005B0A5C"/>
    <w:rsid w:val="005B0F44"/>
    <w:rsid w:val="005B14DD"/>
    <w:rsid w:val="005B19DF"/>
    <w:rsid w:val="005B1AC0"/>
    <w:rsid w:val="005B3087"/>
    <w:rsid w:val="005B3197"/>
    <w:rsid w:val="005B33A4"/>
    <w:rsid w:val="005B368C"/>
    <w:rsid w:val="005B3A1F"/>
    <w:rsid w:val="005B414F"/>
    <w:rsid w:val="005B4624"/>
    <w:rsid w:val="005B4865"/>
    <w:rsid w:val="005B4E79"/>
    <w:rsid w:val="005B5510"/>
    <w:rsid w:val="005B557F"/>
    <w:rsid w:val="005B5607"/>
    <w:rsid w:val="005B6307"/>
    <w:rsid w:val="005B676D"/>
    <w:rsid w:val="005B6D5F"/>
    <w:rsid w:val="005B71E3"/>
    <w:rsid w:val="005B7BCB"/>
    <w:rsid w:val="005C033E"/>
    <w:rsid w:val="005C0BA0"/>
    <w:rsid w:val="005C10FD"/>
    <w:rsid w:val="005C1E09"/>
    <w:rsid w:val="005C2357"/>
    <w:rsid w:val="005C2A6D"/>
    <w:rsid w:val="005C2D85"/>
    <w:rsid w:val="005C35A9"/>
    <w:rsid w:val="005C3611"/>
    <w:rsid w:val="005C3982"/>
    <w:rsid w:val="005C4BAB"/>
    <w:rsid w:val="005C511C"/>
    <w:rsid w:val="005C5C1E"/>
    <w:rsid w:val="005C5F5F"/>
    <w:rsid w:val="005C601D"/>
    <w:rsid w:val="005C6556"/>
    <w:rsid w:val="005C6993"/>
    <w:rsid w:val="005C75E0"/>
    <w:rsid w:val="005C775D"/>
    <w:rsid w:val="005C7E03"/>
    <w:rsid w:val="005C7E72"/>
    <w:rsid w:val="005D0C79"/>
    <w:rsid w:val="005D10ED"/>
    <w:rsid w:val="005D1610"/>
    <w:rsid w:val="005D176E"/>
    <w:rsid w:val="005D37A7"/>
    <w:rsid w:val="005D3868"/>
    <w:rsid w:val="005D4586"/>
    <w:rsid w:val="005D4EC1"/>
    <w:rsid w:val="005D5749"/>
    <w:rsid w:val="005D5945"/>
    <w:rsid w:val="005D5F8D"/>
    <w:rsid w:val="005D6645"/>
    <w:rsid w:val="005D6D02"/>
    <w:rsid w:val="005D7E94"/>
    <w:rsid w:val="005E04EB"/>
    <w:rsid w:val="005E0735"/>
    <w:rsid w:val="005E165C"/>
    <w:rsid w:val="005E1CA9"/>
    <w:rsid w:val="005E2285"/>
    <w:rsid w:val="005E25D0"/>
    <w:rsid w:val="005E28B8"/>
    <w:rsid w:val="005E2AEE"/>
    <w:rsid w:val="005E2CC0"/>
    <w:rsid w:val="005E3007"/>
    <w:rsid w:val="005E312D"/>
    <w:rsid w:val="005E41D7"/>
    <w:rsid w:val="005E4522"/>
    <w:rsid w:val="005E4BAE"/>
    <w:rsid w:val="005E4BDE"/>
    <w:rsid w:val="005E4D70"/>
    <w:rsid w:val="005E54CA"/>
    <w:rsid w:val="005E570E"/>
    <w:rsid w:val="005E5F98"/>
    <w:rsid w:val="005E6384"/>
    <w:rsid w:val="005E6FCD"/>
    <w:rsid w:val="005E7790"/>
    <w:rsid w:val="005F00CA"/>
    <w:rsid w:val="005F06B8"/>
    <w:rsid w:val="005F122F"/>
    <w:rsid w:val="005F1D39"/>
    <w:rsid w:val="005F2C66"/>
    <w:rsid w:val="005F331A"/>
    <w:rsid w:val="005F387A"/>
    <w:rsid w:val="005F3CA4"/>
    <w:rsid w:val="005F3E1A"/>
    <w:rsid w:val="005F421F"/>
    <w:rsid w:val="005F4258"/>
    <w:rsid w:val="005F45D0"/>
    <w:rsid w:val="005F4A6F"/>
    <w:rsid w:val="005F5F41"/>
    <w:rsid w:val="005F61CF"/>
    <w:rsid w:val="005F6323"/>
    <w:rsid w:val="005F6551"/>
    <w:rsid w:val="005F673A"/>
    <w:rsid w:val="005F723F"/>
    <w:rsid w:val="005F748B"/>
    <w:rsid w:val="005F7D4E"/>
    <w:rsid w:val="00600D0D"/>
    <w:rsid w:val="00601729"/>
    <w:rsid w:val="00601A49"/>
    <w:rsid w:val="00601B9F"/>
    <w:rsid w:val="00601C9F"/>
    <w:rsid w:val="00602282"/>
    <w:rsid w:val="006033D5"/>
    <w:rsid w:val="006036E1"/>
    <w:rsid w:val="00603871"/>
    <w:rsid w:val="00603DEA"/>
    <w:rsid w:val="006042A6"/>
    <w:rsid w:val="00604653"/>
    <w:rsid w:val="00604AE4"/>
    <w:rsid w:val="00604BFD"/>
    <w:rsid w:val="00604E46"/>
    <w:rsid w:val="006053E9"/>
    <w:rsid w:val="006056DA"/>
    <w:rsid w:val="00605C99"/>
    <w:rsid w:val="00606783"/>
    <w:rsid w:val="006067FD"/>
    <w:rsid w:val="00606F89"/>
    <w:rsid w:val="00607097"/>
    <w:rsid w:val="00607195"/>
    <w:rsid w:val="00607622"/>
    <w:rsid w:val="0060763F"/>
    <w:rsid w:val="00607EB6"/>
    <w:rsid w:val="00610061"/>
    <w:rsid w:val="00610071"/>
    <w:rsid w:val="006101F1"/>
    <w:rsid w:val="006107E0"/>
    <w:rsid w:val="00610938"/>
    <w:rsid w:val="00610AC6"/>
    <w:rsid w:val="00610E0E"/>
    <w:rsid w:val="00610E73"/>
    <w:rsid w:val="006112C4"/>
    <w:rsid w:val="00611895"/>
    <w:rsid w:val="0061189A"/>
    <w:rsid w:val="00612530"/>
    <w:rsid w:val="006125C3"/>
    <w:rsid w:val="00612776"/>
    <w:rsid w:val="0061283D"/>
    <w:rsid w:val="00612A62"/>
    <w:rsid w:val="00612CAB"/>
    <w:rsid w:val="00614457"/>
    <w:rsid w:val="006146A2"/>
    <w:rsid w:val="00614837"/>
    <w:rsid w:val="006148CC"/>
    <w:rsid w:val="006149ED"/>
    <w:rsid w:val="00614D37"/>
    <w:rsid w:val="00614D58"/>
    <w:rsid w:val="00615052"/>
    <w:rsid w:val="006150EB"/>
    <w:rsid w:val="006155B8"/>
    <w:rsid w:val="0061573A"/>
    <w:rsid w:val="00615AB5"/>
    <w:rsid w:val="00616364"/>
    <w:rsid w:val="006165F1"/>
    <w:rsid w:val="00616AA8"/>
    <w:rsid w:val="0061717B"/>
    <w:rsid w:val="006171E7"/>
    <w:rsid w:val="00617447"/>
    <w:rsid w:val="0061757E"/>
    <w:rsid w:val="00617638"/>
    <w:rsid w:val="006176C3"/>
    <w:rsid w:val="00617890"/>
    <w:rsid w:val="006178B0"/>
    <w:rsid w:val="00617CEE"/>
    <w:rsid w:val="00617DAF"/>
    <w:rsid w:val="00617E13"/>
    <w:rsid w:val="00617E51"/>
    <w:rsid w:val="00617FA6"/>
    <w:rsid w:val="00620978"/>
    <w:rsid w:val="00620A37"/>
    <w:rsid w:val="00620ABB"/>
    <w:rsid w:val="00620C79"/>
    <w:rsid w:val="00620CCC"/>
    <w:rsid w:val="00621D4C"/>
    <w:rsid w:val="00622695"/>
    <w:rsid w:val="006227CB"/>
    <w:rsid w:val="00622A12"/>
    <w:rsid w:val="00622BC2"/>
    <w:rsid w:val="00622F44"/>
    <w:rsid w:val="00623B86"/>
    <w:rsid w:val="00623F6F"/>
    <w:rsid w:val="00624018"/>
    <w:rsid w:val="0062493B"/>
    <w:rsid w:val="0062495C"/>
    <w:rsid w:val="00624E7A"/>
    <w:rsid w:val="006253CE"/>
    <w:rsid w:val="00625A6F"/>
    <w:rsid w:val="00626A22"/>
    <w:rsid w:val="00626FA4"/>
    <w:rsid w:val="006270C4"/>
    <w:rsid w:val="006273A9"/>
    <w:rsid w:val="006275A0"/>
    <w:rsid w:val="00627A06"/>
    <w:rsid w:val="00627A69"/>
    <w:rsid w:val="00630469"/>
    <w:rsid w:val="006308FC"/>
    <w:rsid w:val="00630E1A"/>
    <w:rsid w:val="006317AA"/>
    <w:rsid w:val="006331E1"/>
    <w:rsid w:val="006332B0"/>
    <w:rsid w:val="006336B9"/>
    <w:rsid w:val="006336DF"/>
    <w:rsid w:val="006338C2"/>
    <w:rsid w:val="006344DC"/>
    <w:rsid w:val="006345A2"/>
    <w:rsid w:val="006345E9"/>
    <w:rsid w:val="00634D0B"/>
    <w:rsid w:val="00635065"/>
    <w:rsid w:val="006351AD"/>
    <w:rsid w:val="0063556F"/>
    <w:rsid w:val="0063565A"/>
    <w:rsid w:val="0063567D"/>
    <w:rsid w:val="00635B0B"/>
    <w:rsid w:val="00635FED"/>
    <w:rsid w:val="00636CF5"/>
    <w:rsid w:val="006375B7"/>
    <w:rsid w:val="0064033B"/>
    <w:rsid w:val="00640BDD"/>
    <w:rsid w:val="00640C29"/>
    <w:rsid w:val="00640E92"/>
    <w:rsid w:val="00641AD3"/>
    <w:rsid w:val="00641DC0"/>
    <w:rsid w:val="006422BD"/>
    <w:rsid w:val="006426B0"/>
    <w:rsid w:val="0064270F"/>
    <w:rsid w:val="00644227"/>
    <w:rsid w:val="00644728"/>
    <w:rsid w:val="00644E81"/>
    <w:rsid w:val="00645641"/>
    <w:rsid w:val="00645EAE"/>
    <w:rsid w:val="0064600B"/>
    <w:rsid w:val="00646184"/>
    <w:rsid w:val="006470EE"/>
    <w:rsid w:val="00647175"/>
    <w:rsid w:val="0064753E"/>
    <w:rsid w:val="00647721"/>
    <w:rsid w:val="00647816"/>
    <w:rsid w:val="006478A1"/>
    <w:rsid w:val="00647934"/>
    <w:rsid w:val="00647B7D"/>
    <w:rsid w:val="00650E79"/>
    <w:rsid w:val="00651171"/>
    <w:rsid w:val="00651236"/>
    <w:rsid w:val="00651388"/>
    <w:rsid w:val="00651735"/>
    <w:rsid w:val="006518DA"/>
    <w:rsid w:val="00651C4A"/>
    <w:rsid w:val="0065241F"/>
    <w:rsid w:val="00652794"/>
    <w:rsid w:val="006528B6"/>
    <w:rsid w:val="00652900"/>
    <w:rsid w:val="00652B0C"/>
    <w:rsid w:val="00652E5B"/>
    <w:rsid w:val="00652E9A"/>
    <w:rsid w:val="00653019"/>
    <w:rsid w:val="006533C7"/>
    <w:rsid w:val="00653A5A"/>
    <w:rsid w:val="00653FD7"/>
    <w:rsid w:val="00654525"/>
    <w:rsid w:val="006545F1"/>
    <w:rsid w:val="0065476D"/>
    <w:rsid w:val="00654B5E"/>
    <w:rsid w:val="00654D5B"/>
    <w:rsid w:val="00654FD6"/>
    <w:rsid w:val="0065555A"/>
    <w:rsid w:val="006555ED"/>
    <w:rsid w:val="00655A50"/>
    <w:rsid w:val="00656C0B"/>
    <w:rsid w:val="00656CD5"/>
    <w:rsid w:val="00656D4B"/>
    <w:rsid w:val="006579F4"/>
    <w:rsid w:val="00657A3E"/>
    <w:rsid w:val="0066001F"/>
    <w:rsid w:val="006603EB"/>
    <w:rsid w:val="00660500"/>
    <w:rsid w:val="0066080B"/>
    <w:rsid w:val="00660D76"/>
    <w:rsid w:val="00660D9D"/>
    <w:rsid w:val="00661B39"/>
    <w:rsid w:val="00661F8F"/>
    <w:rsid w:val="006623E3"/>
    <w:rsid w:val="00662767"/>
    <w:rsid w:val="00662F0F"/>
    <w:rsid w:val="006630DF"/>
    <w:rsid w:val="00663DE7"/>
    <w:rsid w:val="00663F06"/>
    <w:rsid w:val="00664063"/>
    <w:rsid w:val="006646CB"/>
    <w:rsid w:val="006648B9"/>
    <w:rsid w:val="00664D92"/>
    <w:rsid w:val="00665C0E"/>
    <w:rsid w:val="00665F5B"/>
    <w:rsid w:val="00666292"/>
    <w:rsid w:val="006662D5"/>
    <w:rsid w:val="00666A99"/>
    <w:rsid w:val="00666CD6"/>
    <w:rsid w:val="00667B6F"/>
    <w:rsid w:val="006709F2"/>
    <w:rsid w:val="00670D2E"/>
    <w:rsid w:val="00670EED"/>
    <w:rsid w:val="006711D0"/>
    <w:rsid w:val="006711E4"/>
    <w:rsid w:val="00671E54"/>
    <w:rsid w:val="00672468"/>
    <w:rsid w:val="00672967"/>
    <w:rsid w:val="00672B85"/>
    <w:rsid w:val="00673677"/>
    <w:rsid w:val="00673801"/>
    <w:rsid w:val="00673A8E"/>
    <w:rsid w:val="00673C5E"/>
    <w:rsid w:val="00673E82"/>
    <w:rsid w:val="006744C6"/>
    <w:rsid w:val="00674889"/>
    <w:rsid w:val="006748B9"/>
    <w:rsid w:val="00674EAE"/>
    <w:rsid w:val="00674EDA"/>
    <w:rsid w:val="00675594"/>
    <w:rsid w:val="00675A53"/>
    <w:rsid w:val="00676533"/>
    <w:rsid w:val="006767F2"/>
    <w:rsid w:val="00677093"/>
    <w:rsid w:val="0067714B"/>
    <w:rsid w:val="006772C2"/>
    <w:rsid w:val="00677309"/>
    <w:rsid w:val="00677351"/>
    <w:rsid w:val="006774C0"/>
    <w:rsid w:val="00677529"/>
    <w:rsid w:val="006776F0"/>
    <w:rsid w:val="00677AAC"/>
    <w:rsid w:val="00677AF2"/>
    <w:rsid w:val="00680284"/>
    <w:rsid w:val="00680334"/>
    <w:rsid w:val="00680786"/>
    <w:rsid w:val="0068129D"/>
    <w:rsid w:val="006814C7"/>
    <w:rsid w:val="00683268"/>
    <w:rsid w:val="006832EB"/>
    <w:rsid w:val="00683908"/>
    <w:rsid w:val="00683A4B"/>
    <w:rsid w:val="00683F34"/>
    <w:rsid w:val="00683FB1"/>
    <w:rsid w:val="00684A43"/>
    <w:rsid w:val="006860EE"/>
    <w:rsid w:val="00686255"/>
    <w:rsid w:val="006869A2"/>
    <w:rsid w:val="0068706D"/>
    <w:rsid w:val="0069028F"/>
    <w:rsid w:val="006908E3"/>
    <w:rsid w:val="00691456"/>
    <w:rsid w:val="00692C1B"/>
    <w:rsid w:val="00692D73"/>
    <w:rsid w:val="00692F56"/>
    <w:rsid w:val="00693E5C"/>
    <w:rsid w:val="00694095"/>
    <w:rsid w:val="006941FF"/>
    <w:rsid w:val="00694304"/>
    <w:rsid w:val="006945F0"/>
    <w:rsid w:val="00694DFB"/>
    <w:rsid w:val="00694F47"/>
    <w:rsid w:val="0069515E"/>
    <w:rsid w:val="0069540F"/>
    <w:rsid w:val="006954C1"/>
    <w:rsid w:val="006957C8"/>
    <w:rsid w:val="00695868"/>
    <w:rsid w:val="006959A9"/>
    <w:rsid w:val="00696360"/>
    <w:rsid w:val="0069658E"/>
    <w:rsid w:val="006966CD"/>
    <w:rsid w:val="00696905"/>
    <w:rsid w:val="00696CD7"/>
    <w:rsid w:val="00696E7F"/>
    <w:rsid w:val="006974C6"/>
    <w:rsid w:val="006978CF"/>
    <w:rsid w:val="006A06FE"/>
    <w:rsid w:val="006A1859"/>
    <w:rsid w:val="006A1B4C"/>
    <w:rsid w:val="006A1DC0"/>
    <w:rsid w:val="006A2143"/>
    <w:rsid w:val="006A21AB"/>
    <w:rsid w:val="006A2C65"/>
    <w:rsid w:val="006A32BB"/>
    <w:rsid w:val="006A3862"/>
    <w:rsid w:val="006A4576"/>
    <w:rsid w:val="006A4BE1"/>
    <w:rsid w:val="006A4E25"/>
    <w:rsid w:val="006A625E"/>
    <w:rsid w:val="006A6D61"/>
    <w:rsid w:val="006A769F"/>
    <w:rsid w:val="006A79A2"/>
    <w:rsid w:val="006A7D18"/>
    <w:rsid w:val="006B0260"/>
    <w:rsid w:val="006B0CE5"/>
    <w:rsid w:val="006B12D2"/>
    <w:rsid w:val="006B1661"/>
    <w:rsid w:val="006B172D"/>
    <w:rsid w:val="006B1E8A"/>
    <w:rsid w:val="006B46F6"/>
    <w:rsid w:val="006B5249"/>
    <w:rsid w:val="006B56B3"/>
    <w:rsid w:val="006B58DB"/>
    <w:rsid w:val="006B592F"/>
    <w:rsid w:val="006B640A"/>
    <w:rsid w:val="006B64EC"/>
    <w:rsid w:val="006B73A0"/>
    <w:rsid w:val="006B773E"/>
    <w:rsid w:val="006B7D5A"/>
    <w:rsid w:val="006C01FD"/>
    <w:rsid w:val="006C02E8"/>
    <w:rsid w:val="006C04C7"/>
    <w:rsid w:val="006C0A78"/>
    <w:rsid w:val="006C0E00"/>
    <w:rsid w:val="006C22C7"/>
    <w:rsid w:val="006C23CD"/>
    <w:rsid w:val="006C263B"/>
    <w:rsid w:val="006C279D"/>
    <w:rsid w:val="006C2B53"/>
    <w:rsid w:val="006C2FA1"/>
    <w:rsid w:val="006C36FA"/>
    <w:rsid w:val="006C3C54"/>
    <w:rsid w:val="006C4BC5"/>
    <w:rsid w:val="006C4F7F"/>
    <w:rsid w:val="006C52AD"/>
    <w:rsid w:val="006C5DCC"/>
    <w:rsid w:val="006C609E"/>
    <w:rsid w:val="006C692F"/>
    <w:rsid w:val="006C6CD8"/>
    <w:rsid w:val="006C7D2D"/>
    <w:rsid w:val="006D061A"/>
    <w:rsid w:val="006D108A"/>
    <w:rsid w:val="006D283E"/>
    <w:rsid w:val="006D2B60"/>
    <w:rsid w:val="006D34A6"/>
    <w:rsid w:val="006D3E64"/>
    <w:rsid w:val="006D4220"/>
    <w:rsid w:val="006D5356"/>
    <w:rsid w:val="006D56F0"/>
    <w:rsid w:val="006D5AB8"/>
    <w:rsid w:val="006D5BC1"/>
    <w:rsid w:val="006D5D90"/>
    <w:rsid w:val="006D6992"/>
    <w:rsid w:val="006D76DE"/>
    <w:rsid w:val="006D779D"/>
    <w:rsid w:val="006E0BEE"/>
    <w:rsid w:val="006E0E57"/>
    <w:rsid w:val="006E13AF"/>
    <w:rsid w:val="006E1485"/>
    <w:rsid w:val="006E1D16"/>
    <w:rsid w:val="006E2338"/>
    <w:rsid w:val="006E31E5"/>
    <w:rsid w:val="006E325D"/>
    <w:rsid w:val="006E33CD"/>
    <w:rsid w:val="006E3BFE"/>
    <w:rsid w:val="006E43A0"/>
    <w:rsid w:val="006E4896"/>
    <w:rsid w:val="006E4CF0"/>
    <w:rsid w:val="006E4D5D"/>
    <w:rsid w:val="006E5327"/>
    <w:rsid w:val="006E5CA4"/>
    <w:rsid w:val="006E5D47"/>
    <w:rsid w:val="006E5DAB"/>
    <w:rsid w:val="006E79D4"/>
    <w:rsid w:val="006E7CFA"/>
    <w:rsid w:val="006F0050"/>
    <w:rsid w:val="006F067C"/>
    <w:rsid w:val="006F08F9"/>
    <w:rsid w:val="006F0A21"/>
    <w:rsid w:val="006F0F3D"/>
    <w:rsid w:val="006F1140"/>
    <w:rsid w:val="006F11FC"/>
    <w:rsid w:val="006F28E1"/>
    <w:rsid w:val="006F2B18"/>
    <w:rsid w:val="006F2CE6"/>
    <w:rsid w:val="006F3136"/>
    <w:rsid w:val="006F345F"/>
    <w:rsid w:val="006F3AE5"/>
    <w:rsid w:val="006F414F"/>
    <w:rsid w:val="006F4572"/>
    <w:rsid w:val="006F45D4"/>
    <w:rsid w:val="006F48B3"/>
    <w:rsid w:val="006F4B7D"/>
    <w:rsid w:val="006F54B7"/>
    <w:rsid w:val="006F6478"/>
    <w:rsid w:val="006F72E2"/>
    <w:rsid w:val="006F7864"/>
    <w:rsid w:val="006F791C"/>
    <w:rsid w:val="006F7C90"/>
    <w:rsid w:val="006F7D2F"/>
    <w:rsid w:val="007004CA"/>
    <w:rsid w:val="007004F5"/>
    <w:rsid w:val="007007F6"/>
    <w:rsid w:val="00700AC3"/>
    <w:rsid w:val="00701157"/>
    <w:rsid w:val="00701529"/>
    <w:rsid w:val="00701BBF"/>
    <w:rsid w:val="007022F2"/>
    <w:rsid w:val="0070249B"/>
    <w:rsid w:val="00702543"/>
    <w:rsid w:val="007027E2"/>
    <w:rsid w:val="00702874"/>
    <w:rsid w:val="00703419"/>
    <w:rsid w:val="00703749"/>
    <w:rsid w:val="00704669"/>
    <w:rsid w:val="00704712"/>
    <w:rsid w:val="00704C08"/>
    <w:rsid w:val="00704C31"/>
    <w:rsid w:val="00704C6B"/>
    <w:rsid w:val="00705212"/>
    <w:rsid w:val="0070538A"/>
    <w:rsid w:val="00705BC7"/>
    <w:rsid w:val="00706361"/>
    <w:rsid w:val="00706441"/>
    <w:rsid w:val="007066D9"/>
    <w:rsid w:val="007068C9"/>
    <w:rsid w:val="00707375"/>
    <w:rsid w:val="00707F69"/>
    <w:rsid w:val="0071041E"/>
    <w:rsid w:val="00710A6D"/>
    <w:rsid w:val="00710E56"/>
    <w:rsid w:val="00710FCF"/>
    <w:rsid w:val="007110E4"/>
    <w:rsid w:val="00711117"/>
    <w:rsid w:val="00711541"/>
    <w:rsid w:val="00711752"/>
    <w:rsid w:val="00711834"/>
    <w:rsid w:val="00711C9D"/>
    <w:rsid w:val="00712307"/>
    <w:rsid w:val="00712497"/>
    <w:rsid w:val="007130B4"/>
    <w:rsid w:val="00713C33"/>
    <w:rsid w:val="00713FE3"/>
    <w:rsid w:val="00714091"/>
    <w:rsid w:val="007141AC"/>
    <w:rsid w:val="00714A6C"/>
    <w:rsid w:val="0071549C"/>
    <w:rsid w:val="0071561E"/>
    <w:rsid w:val="007157DC"/>
    <w:rsid w:val="00715BEA"/>
    <w:rsid w:val="00715C06"/>
    <w:rsid w:val="0071627F"/>
    <w:rsid w:val="007166C2"/>
    <w:rsid w:val="007167F9"/>
    <w:rsid w:val="00716A0B"/>
    <w:rsid w:val="00717E01"/>
    <w:rsid w:val="00717FF3"/>
    <w:rsid w:val="00720B38"/>
    <w:rsid w:val="0072196F"/>
    <w:rsid w:val="00721F30"/>
    <w:rsid w:val="007222F7"/>
    <w:rsid w:val="00722BC5"/>
    <w:rsid w:val="00723AAD"/>
    <w:rsid w:val="00724444"/>
    <w:rsid w:val="00725979"/>
    <w:rsid w:val="00726068"/>
    <w:rsid w:val="00726C5B"/>
    <w:rsid w:val="00727248"/>
    <w:rsid w:val="007273B8"/>
    <w:rsid w:val="007274D3"/>
    <w:rsid w:val="00727AEA"/>
    <w:rsid w:val="00727C4C"/>
    <w:rsid w:val="00730123"/>
    <w:rsid w:val="0073026D"/>
    <w:rsid w:val="00730658"/>
    <w:rsid w:val="007309EA"/>
    <w:rsid w:val="00731519"/>
    <w:rsid w:val="00731D1D"/>
    <w:rsid w:val="00732187"/>
    <w:rsid w:val="007323E5"/>
    <w:rsid w:val="007324C7"/>
    <w:rsid w:val="0073298C"/>
    <w:rsid w:val="00733686"/>
    <w:rsid w:val="00733779"/>
    <w:rsid w:val="00733E3C"/>
    <w:rsid w:val="00734081"/>
    <w:rsid w:val="007340EF"/>
    <w:rsid w:val="0073421D"/>
    <w:rsid w:val="0073479A"/>
    <w:rsid w:val="00734A4A"/>
    <w:rsid w:val="007354F2"/>
    <w:rsid w:val="007355B2"/>
    <w:rsid w:val="007356E2"/>
    <w:rsid w:val="00735AEA"/>
    <w:rsid w:val="007367E3"/>
    <w:rsid w:val="00737291"/>
    <w:rsid w:val="0073742E"/>
    <w:rsid w:val="0073757A"/>
    <w:rsid w:val="00737E75"/>
    <w:rsid w:val="00740101"/>
    <w:rsid w:val="00740E17"/>
    <w:rsid w:val="007410DA"/>
    <w:rsid w:val="00741251"/>
    <w:rsid w:val="007415E2"/>
    <w:rsid w:val="00741FC0"/>
    <w:rsid w:val="00742443"/>
    <w:rsid w:val="007425DC"/>
    <w:rsid w:val="007427D4"/>
    <w:rsid w:val="00742AA2"/>
    <w:rsid w:val="00742C63"/>
    <w:rsid w:val="00743BB5"/>
    <w:rsid w:val="007441C2"/>
    <w:rsid w:val="0074486D"/>
    <w:rsid w:val="00744F9D"/>
    <w:rsid w:val="00744FEF"/>
    <w:rsid w:val="00745057"/>
    <w:rsid w:val="0074547A"/>
    <w:rsid w:val="00745797"/>
    <w:rsid w:val="007458AF"/>
    <w:rsid w:val="00745939"/>
    <w:rsid w:val="00746651"/>
    <w:rsid w:val="00746873"/>
    <w:rsid w:val="00747043"/>
    <w:rsid w:val="0074729D"/>
    <w:rsid w:val="00747C6B"/>
    <w:rsid w:val="00747C78"/>
    <w:rsid w:val="007500C8"/>
    <w:rsid w:val="00750333"/>
    <w:rsid w:val="00750852"/>
    <w:rsid w:val="00750BAC"/>
    <w:rsid w:val="00750FCF"/>
    <w:rsid w:val="00751638"/>
    <w:rsid w:val="0075182E"/>
    <w:rsid w:val="00751A79"/>
    <w:rsid w:val="00752553"/>
    <w:rsid w:val="00752AF9"/>
    <w:rsid w:val="007531BD"/>
    <w:rsid w:val="007533C6"/>
    <w:rsid w:val="00754785"/>
    <w:rsid w:val="0075494C"/>
    <w:rsid w:val="00754CBB"/>
    <w:rsid w:val="00754E5F"/>
    <w:rsid w:val="007557A4"/>
    <w:rsid w:val="00755C34"/>
    <w:rsid w:val="00755DEE"/>
    <w:rsid w:val="0075712C"/>
    <w:rsid w:val="007574D2"/>
    <w:rsid w:val="00757BA7"/>
    <w:rsid w:val="00760297"/>
    <w:rsid w:val="0076073D"/>
    <w:rsid w:val="00760C3E"/>
    <w:rsid w:val="007613AD"/>
    <w:rsid w:val="00761443"/>
    <w:rsid w:val="00761C46"/>
    <w:rsid w:val="00762185"/>
    <w:rsid w:val="0076252C"/>
    <w:rsid w:val="00762840"/>
    <w:rsid w:val="00762D3B"/>
    <w:rsid w:val="00762F87"/>
    <w:rsid w:val="007635B0"/>
    <w:rsid w:val="007635BB"/>
    <w:rsid w:val="00763740"/>
    <w:rsid w:val="00763F80"/>
    <w:rsid w:val="007643E1"/>
    <w:rsid w:val="00764EB0"/>
    <w:rsid w:val="007659FC"/>
    <w:rsid w:val="00766971"/>
    <w:rsid w:val="00766994"/>
    <w:rsid w:val="00766BD2"/>
    <w:rsid w:val="00767069"/>
    <w:rsid w:val="00767467"/>
    <w:rsid w:val="0076748D"/>
    <w:rsid w:val="007676C2"/>
    <w:rsid w:val="007703B3"/>
    <w:rsid w:val="0077056C"/>
    <w:rsid w:val="00770C95"/>
    <w:rsid w:val="00770CA8"/>
    <w:rsid w:val="00770DDC"/>
    <w:rsid w:val="00771EFB"/>
    <w:rsid w:val="007720AC"/>
    <w:rsid w:val="0077223F"/>
    <w:rsid w:val="007723DA"/>
    <w:rsid w:val="00772580"/>
    <w:rsid w:val="00772975"/>
    <w:rsid w:val="007729FE"/>
    <w:rsid w:val="00772AEE"/>
    <w:rsid w:val="00772E88"/>
    <w:rsid w:val="007736A5"/>
    <w:rsid w:val="00773AD7"/>
    <w:rsid w:val="00773FF7"/>
    <w:rsid w:val="0077420C"/>
    <w:rsid w:val="00774215"/>
    <w:rsid w:val="0077423D"/>
    <w:rsid w:val="007744EE"/>
    <w:rsid w:val="00774961"/>
    <w:rsid w:val="00774A55"/>
    <w:rsid w:val="007750D7"/>
    <w:rsid w:val="00775509"/>
    <w:rsid w:val="0077550A"/>
    <w:rsid w:val="0077590B"/>
    <w:rsid w:val="00775BED"/>
    <w:rsid w:val="00775FB1"/>
    <w:rsid w:val="00776BEC"/>
    <w:rsid w:val="00776D14"/>
    <w:rsid w:val="00777179"/>
    <w:rsid w:val="00777457"/>
    <w:rsid w:val="00777A08"/>
    <w:rsid w:val="00780353"/>
    <w:rsid w:val="00780922"/>
    <w:rsid w:val="007809BB"/>
    <w:rsid w:val="007810C3"/>
    <w:rsid w:val="00781576"/>
    <w:rsid w:val="0078198A"/>
    <w:rsid w:val="007821A0"/>
    <w:rsid w:val="00782556"/>
    <w:rsid w:val="00782A08"/>
    <w:rsid w:val="00782A43"/>
    <w:rsid w:val="00782BFC"/>
    <w:rsid w:val="00783591"/>
    <w:rsid w:val="00783722"/>
    <w:rsid w:val="0078398F"/>
    <w:rsid w:val="00784393"/>
    <w:rsid w:val="007843B0"/>
    <w:rsid w:val="00784860"/>
    <w:rsid w:val="00785531"/>
    <w:rsid w:val="00785746"/>
    <w:rsid w:val="00785A41"/>
    <w:rsid w:val="00785CCA"/>
    <w:rsid w:val="00786588"/>
    <w:rsid w:val="007867DC"/>
    <w:rsid w:val="00787234"/>
    <w:rsid w:val="007873F6"/>
    <w:rsid w:val="00787590"/>
    <w:rsid w:val="00787900"/>
    <w:rsid w:val="00787B5D"/>
    <w:rsid w:val="00787D34"/>
    <w:rsid w:val="007903D6"/>
    <w:rsid w:val="007908FB"/>
    <w:rsid w:val="00790E4C"/>
    <w:rsid w:val="007917BD"/>
    <w:rsid w:val="00791AF3"/>
    <w:rsid w:val="00791BBF"/>
    <w:rsid w:val="00791CD2"/>
    <w:rsid w:val="007929D7"/>
    <w:rsid w:val="00792A67"/>
    <w:rsid w:val="00793066"/>
    <w:rsid w:val="00793225"/>
    <w:rsid w:val="00794571"/>
    <w:rsid w:val="00794912"/>
    <w:rsid w:val="00795665"/>
    <w:rsid w:val="00795B54"/>
    <w:rsid w:val="00795C76"/>
    <w:rsid w:val="00796022"/>
    <w:rsid w:val="00796418"/>
    <w:rsid w:val="00796984"/>
    <w:rsid w:val="00796B52"/>
    <w:rsid w:val="00796CFD"/>
    <w:rsid w:val="007975B3"/>
    <w:rsid w:val="0079768E"/>
    <w:rsid w:val="00797700"/>
    <w:rsid w:val="007A0113"/>
    <w:rsid w:val="007A0405"/>
    <w:rsid w:val="007A046B"/>
    <w:rsid w:val="007A0501"/>
    <w:rsid w:val="007A1B52"/>
    <w:rsid w:val="007A2739"/>
    <w:rsid w:val="007A28FF"/>
    <w:rsid w:val="007A2D64"/>
    <w:rsid w:val="007A2FF2"/>
    <w:rsid w:val="007A3015"/>
    <w:rsid w:val="007A336B"/>
    <w:rsid w:val="007A347F"/>
    <w:rsid w:val="007A3D11"/>
    <w:rsid w:val="007A3FF1"/>
    <w:rsid w:val="007A410C"/>
    <w:rsid w:val="007A4185"/>
    <w:rsid w:val="007A4300"/>
    <w:rsid w:val="007A4EF3"/>
    <w:rsid w:val="007A5102"/>
    <w:rsid w:val="007A580C"/>
    <w:rsid w:val="007A5B36"/>
    <w:rsid w:val="007A5B9F"/>
    <w:rsid w:val="007A5D22"/>
    <w:rsid w:val="007A6AE4"/>
    <w:rsid w:val="007A71AF"/>
    <w:rsid w:val="007A7765"/>
    <w:rsid w:val="007B0C73"/>
    <w:rsid w:val="007B14C1"/>
    <w:rsid w:val="007B1B8C"/>
    <w:rsid w:val="007B1D96"/>
    <w:rsid w:val="007B25D7"/>
    <w:rsid w:val="007B2D1B"/>
    <w:rsid w:val="007B308C"/>
    <w:rsid w:val="007B3718"/>
    <w:rsid w:val="007B4519"/>
    <w:rsid w:val="007B455B"/>
    <w:rsid w:val="007B4569"/>
    <w:rsid w:val="007B48F6"/>
    <w:rsid w:val="007B4EDE"/>
    <w:rsid w:val="007B505A"/>
    <w:rsid w:val="007B5300"/>
    <w:rsid w:val="007B5516"/>
    <w:rsid w:val="007B57D7"/>
    <w:rsid w:val="007B5ADD"/>
    <w:rsid w:val="007B657A"/>
    <w:rsid w:val="007B6680"/>
    <w:rsid w:val="007B6B8C"/>
    <w:rsid w:val="007B6C5C"/>
    <w:rsid w:val="007B6D2F"/>
    <w:rsid w:val="007B6FB8"/>
    <w:rsid w:val="007B76B8"/>
    <w:rsid w:val="007B798A"/>
    <w:rsid w:val="007B7A78"/>
    <w:rsid w:val="007B7AF7"/>
    <w:rsid w:val="007B7E87"/>
    <w:rsid w:val="007C01A8"/>
    <w:rsid w:val="007C0D12"/>
    <w:rsid w:val="007C0E2A"/>
    <w:rsid w:val="007C126A"/>
    <w:rsid w:val="007C156E"/>
    <w:rsid w:val="007C282E"/>
    <w:rsid w:val="007C28F7"/>
    <w:rsid w:val="007C29E4"/>
    <w:rsid w:val="007C2A20"/>
    <w:rsid w:val="007C37EB"/>
    <w:rsid w:val="007C389D"/>
    <w:rsid w:val="007C38B4"/>
    <w:rsid w:val="007C3C59"/>
    <w:rsid w:val="007C3E11"/>
    <w:rsid w:val="007C3E23"/>
    <w:rsid w:val="007C4A97"/>
    <w:rsid w:val="007C4BDF"/>
    <w:rsid w:val="007C4EAD"/>
    <w:rsid w:val="007C5271"/>
    <w:rsid w:val="007C5946"/>
    <w:rsid w:val="007C6700"/>
    <w:rsid w:val="007C690E"/>
    <w:rsid w:val="007C6E41"/>
    <w:rsid w:val="007C7301"/>
    <w:rsid w:val="007C7A61"/>
    <w:rsid w:val="007C7BA2"/>
    <w:rsid w:val="007D015A"/>
    <w:rsid w:val="007D0301"/>
    <w:rsid w:val="007D0352"/>
    <w:rsid w:val="007D13E7"/>
    <w:rsid w:val="007D1ACC"/>
    <w:rsid w:val="007D1EBF"/>
    <w:rsid w:val="007D2709"/>
    <w:rsid w:val="007D2D32"/>
    <w:rsid w:val="007D2D67"/>
    <w:rsid w:val="007D332F"/>
    <w:rsid w:val="007D354F"/>
    <w:rsid w:val="007D54D1"/>
    <w:rsid w:val="007D55F0"/>
    <w:rsid w:val="007D5B50"/>
    <w:rsid w:val="007D5BFC"/>
    <w:rsid w:val="007D65DA"/>
    <w:rsid w:val="007D70A7"/>
    <w:rsid w:val="007D7316"/>
    <w:rsid w:val="007D7BB1"/>
    <w:rsid w:val="007D7BC5"/>
    <w:rsid w:val="007D7CE6"/>
    <w:rsid w:val="007E0620"/>
    <w:rsid w:val="007E0747"/>
    <w:rsid w:val="007E132B"/>
    <w:rsid w:val="007E1667"/>
    <w:rsid w:val="007E177A"/>
    <w:rsid w:val="007E2554"/>
    <w:rsid w:val="007E2BD7"/>
    <w:rsid w:val="007E2BF7"/>
    <w:rsid w:val="007E3279"/>
    <w:rsid w:val="007E32DD"/>
    <w:rsid w:val="007E3746"/>
    <w:rsid w:val="007E39C8"/>
    <w:rsid w:val="007E4447"/>
    <w:rsid w:val="007E494C"/>
    <w:rsid w:val="007E5053"/>
    <w:rsid w:val="007E50CD"/>
    <w:rsid w:val="007E54E0"/>
    <w:rsid w:val="007E5523"/>
    <w:rsid w:val="007E5758"/>
    <w:rsid w:val="007E59EC"/>
    <w:rsid w:val="007E6B39"/>
    <w:rsid w:val="007E7515"/>
    <w:rsid w:val="007E7655"/>
    <w:rsid w:val="007E799C"/>
    <w:rsid w:val="007E79E0"/>
    <w:rsid w:val="007E7CF4"/>
    <w:rsid w:val="007F00A0"/>
    <w:rsid w:val="007F011E"/>
    <w:rsid w:val="007F012E"/>
    <w:rsid w:val="007F01BE"/>
    <w:rsid w:val="007F0880"/>
    <w:rsid w:val="007F0FFB"/>
    <w:rsid w:val="007F1763"/>
    <w:rsid w:val="007F281A"/>
    <w:rsid w:val="007F29A7"/>
    <w:rsid w:val="007F2D13"/>
    <w:rsid w:val="007F2E36"/>
    <w:rsid w:val="007F30EC"/>
    <w:rsid w:val="007F32CA"/>
    <w:rsid w:val="007F32D2"/>
    <w:rsid w:val="007F4069"/>
    <w:rsid w:val="007F40D2"/>
    <w:rsid w:val="007F4408"/>
    <w:rsid w:val="007F511E"/>
    <w:rsid w:val="007F5246"/>
    <w:rsid w:val="007F74A9"/>
    <w:rsid w:val="007F76CD"/>
    <w:rsid w:val="00800825"/>
    <w:rsid w:val="00800CAE"/>
    <w:rsid w:val="00800DBD"/>
    <w:rsid w:val="008011B7"/>
    <w:rsid w:val="0080173D"/>
    <w:rsid w:val="00801887"/>
    <w:rsid w:val="008023F3"/>
    <w:rsid w:val="00802893"/>
    <w:rsid w:val="00802C97"/>
    <w:rsid w:val="00803335"/>
    <w:rsid w:val="00803593"/>
    <w:rsid w:val="008038FC"/>
    <w:rsid w:val="0080399D"/>
    <w:rsid w:val="00803B52"/>
    <w:rsid w:val="00803EF2"/>
    <w:rsid w:val="00804422"/>
    <w:rsid w:val="008045DB"/>
    <w:rsid w:val="00804983"/>
    <w:rsid w:val="00804A20"/>
    <w:rsid w:val="00804C49"/>
    <w:rsid w:val="00805CE5"/>
    <w:rsid w:val="008060FD"/>
    <w:rsid w:val="00806240"/>
    <w:rsid w:val="0080653C"/>
    <w:rsid w:val="008068D1"/>
    <w:rsid w:val="00806A00"/>
    <w:rsid w:val="00806AC3"/>
    <w:rsid w:val="008071E2"/>
    <w:rsid w:val="00807306"/>
    <w:rsid w:val="008074DE"/>
    <w:rsid w:val="008102FA"/>
    <w:rsid w:val="008103A4"/>
    <w:rsid w:val="0081054D"/>
    <w:rsid w:val="008108BF"/>
    <w:rsid w:val="00810A2C"/>
    <w:rsid w:val="00811206"/>
    <w:rsid w:val="00812914"/>
    <w:rsid w:val="00812A33"/>
    <w:rsid w:val="00812E47"/>
    <w:rsid w:val="0081375F"/>
    <w:rsid w:val="00813761"/>
    <w:rsid w:val="00813857"/>
    <w:rsid w:val="008139D2"/>
    <w:rsid w:val="00813DDD"/>
    <w:rsid w:val="00813ECD"/>
    <w:rsid w:val="00814259"/>
    <w:rsid w:val="00814B85"/>
    <w:rsid w:val="00814BF2"/>
    <w:rsid w:val="008152A1"/>
    <w:rsid w:val="008153B4"/>
    <w:rsid w:val="008156B7"/>
    <w:rsid w:val="0081674C"/>
    <w:rsid w:val="00817570"/>
    <w:rsid w:val="00817F2E"/>
    <w:rsid w:val="008202B0"/>
    <w:rsid w:val="00820745"/>
    <w:rsid w:val="00820A7B"/>
    <w:rsid w:val="00820E0E"/>
    <w:rsid w:val="0082125B"/>
    <w:rsid w:val="0082126A"/>
    <w:rsid w:val="0082151C"/>
    <w:rsid w:val="00821A0D"/>
    <w:rsid w:val="0082207F"/>
    <w:rsid w:val="0082240A"/>
    <w:rsid w:val="00822EBD"/>
    <w:rsid w:val="00823156"/>
    <w:rsid w:val="00823A49"/>
    <w:rsid w:val="0082407E"/>
    <w:rsid w:val="008244F5"/>
    <w:rsid w:val="00825304"/>
    <w:rsid w:val="0082538C"/>
    <w:rsid w:val="00825804"/>
    <w:rsid w:val="008264B7"/>
    <w:rsid w:val="00826517"/>
    <w:rsid w:val="0082690B"/>
    <w:rsid w:val="00826FEF"/>
    <w:rsid w:val="008273D9"/>
    <w:rsid w:val="00827817"/>
    <w:rsid w:val="00830787"/>
    <w:rsid w:val="008308D1"/>
    <w:rsid w:val="00830AA7"/>
    <w:rsid w:val="00830E0C"/>
    <w:rsid w:val="0083158F"/>
    <w:rsid w:val="0083170E"/>
    <w:rsid w:val="00831D39"/>
    <w:rsid w:val="00831E37"/>
    <w:rsid w:val="008326AB"/>
    <w:rsid w:val="00832A24"/>
    <w:rsid w:val="00832BAE"/>
    <w:rsid w:val="00832FDF"/>
    <w:rsid w:val="00834D3A"/>
    <w:rsid w:val="00834F63"/>
    <w:rsid w:val="00835128"/>
    <w:rsid w:val="00835834"/>
    <w:rsid w:val="008358F0"/>
    <w:rsid w:val="0083617B"/>
    <w:rsid w:val="00836208"/>
    <w:rsid w:val="0083690E"/>
    <w:rsid w:val="00837634"/>
    <w:rsid w:val="00837997"/>
    <w:rsid w:val="00837A03"/>
    <w:rsid w:val="00837B73"/>
    <w:rsid w:val="0084077F"/>
    <w:rsid w:val="0084085C"/>
    <w:rsid w:val="00840F59"/>
    <w:rsid w:val="008410BE"/>
    <w:rsid w:val="008410D5"/>
    <w:rsid w:val="00841715"/>
    <w:rsid w:val="0084197F"/>
    <w:rsid w:val="00841C18"/>
    <w:rsid w:val="008424B4"/>
    <w:rsid w:val="00842ABC"/>
    <w:rsid w:val="00842B23"/>
    <w:rsid w:val="00842B25"/>
    <w:rsid w:val="008436F4"/>
    <w:rsid w:val="00843CD5"/>
    <w:rsid w:val="00843D5D"/>
    <w:rsid w:val="00845018"/>
    <w:rsid w:val="0084505D"/>
    <w:rsid w:val="00845795"/>
    <w:rsid w:val="008457A2"/>
    <w:rsid w:val="00845A2E"/>
    <w:rsid w:val="00845EB6"/>
    <w:rsid w:val="00846174"/>
    <w:rsid w:val="008461B2"/>
    <w:rsid w:val="00846435"/>
    <w:rsid w:val="00846FA3"/>
    <w:rsid w:val="00847181"/>
    <w:rsid w:val="008472F9"/>
    <w:rsid w:val="008473C1"/>
    <w:rsid w:val="0084787B"/>
    <w:rsid w:val="008500C9"/>
    <w:rsid w:val="008500EE"/>
    <w:rsid w:val="00850167"/>
    <w:rsid w:val="0085052B"/>
    <w:rsid w:val="008505B2"/>
    <w:rsid w:val="0085067E"/>
    <w:rsid w:val="00850CE3"/>
    <w:rsid w:val="00851211"/>
    <w:rsid w:val="00851262"/>
    <w:rsid w:val="0085130F"/>
    <w:rsid w:val="00851528"/>
    <w:rsid w:val="0085192E"/>
    <w:rsid w:val="00851F4B"/>
    <w:rsid w:val="00852081"/>
    <w:rsid w:val="00852693"/>
    <w:rsid w:val="00852739"/>
    <w:rsid w:val="0085279E"/>
    <w:rsid w:val="00853042"/>
    <w:rsid w:val="008537C4"/>
    <w:rsid w:val="00853B28"/>
    <w:rsid w:val="00853D8A"/>
    <w:rsid w:val="00854384"/>
    <w:rsid w:val="00854C30"/>
    <w:rsid w:val="0085516C"/>
    <w:rsid w:val="00855B7B"/>
    <w:rsid w:val="00855DF5"/>
    <w:rsid w:val="0085621A"/>
    <w:rsid w:val="00856377"/>
    <w:rsid w:val="0085666C"/>
    <w:rsid w:val="008567EB"/>
    <w:rsid w:val="008570CA"/>
    <w:rsid w:val="00857126"/>
    <w:rsid w:val="0085715C"/>
    <w:rsid w:val="008575A6"/>
    <w:rsid w:val="008603FB"/>
    <w:rsid w:val="00860A19"/>
    <w:rsid w:val="00860F22"/>
    <w:rsid w:val="00860FAE"/>
    <w:rsid w:val="008617F9"/>
    <w:rsid w:val="008619AD"/>
    <w:rsid w:val="00861D65"/>
    <w:rsid w:val="00862528"/>
    <w:rsid w:val="00862DC1"/>
    <w:rsid w:val="0086312E"/>
    <w:rsid w:val="00863413"/>
    <w:rsid w:val="0086345C"/>
    <w:rsid w:val="00863B98"/>
    <w:rsid w:val="00863DD1"/>
    <w:rsid w:val="00863E2E"/>
    <w:rsid w:val="00864601"/>
    <w:rsid w:val="0086487E"/>
    <w:rsid w:val="00864950"/>
    <w:rsid w:val="00864D20"/>
    <w:rsid w:val="00865050"/>
    <w:rsid w:val="00865066"/>
    <w:rsid w:val="00865B59"/>
    <w:rsid w:val="00866098"/>
    <w:rsid w:val="0086632A"/>
    <w:rsid w:val="008674D3"/>
    <w:rsid w:val="00867870"/>
    <w:rsid w:val="00867DB8"/>
    <w:rsid w:val="00870558"/>
    <w:rsid w:val="00870D44"/>
    <w:rsid w:val="00870F9C"/>
    <w:rsid w:val="0087101D"/>
    <w:rsid w:val="0087125F"/>
    <w:rsid w:val="0087143D"/>
    <w:rsid w:val="00871876"/>
    <w:rsid w:val="00871C3E"/>
    <w:rsid w:val="00871D88"/>
    <w:rsid w:val="008721D0"/>
    <w:rsid w:val="0087249E"/>
    <w:rsid w:val="00872651"/>
    <w:rsid w:val="008733BB"/>
    <w:rsid w:val="008745BF"/>
    <w:rsid w:val="00874BC6"/>
    <w:rsid w:val="008761E3"/>
    <w:rsid w:val="008761F4"/>
    <w:rsid w:val="00876551"/>
    <w:rsid w:val="008770B1"/>
    <w:rsid w:val="00877855"/>
    <w:rsid w:val="00877A37"/>
    <w:rsid w:val="00877A6C"/>
    <w:rsid w:val="00877BAD"/>
    <w:rsid w:val="00877C46"/>
    <w:rsid w:val="00877DF5"/>
    <w:rsid w:val="0088038B"/>
    <w:rsid w:val="00880C4D"/>
    <w:rsid w:val="00880D59"/>
    <w:rsid w:val="0088104A"/>
    <w:rsid w:val="0088163E"/>
    <w:rsid w:val="00881870"/>
    <w:rsid w:val="008823B4"/>
    <w:rsid w:val="00882622"/>
    <w:rsid w:val="0088264F"/>
    <w:rsid w:val="0088285E"/>
    <w:rsid w:val="00882B93"/>
    <w:rsid w:val="0088313B"/>
    <w:rsid w:val="00883545"/>
    <w:rsid w:val="00883A4E"/>
    <w:rsid w:val="00883B96"/>
    <w:rsid w:val="00884D6A"/>
    <w:rsid w:val="00884F4D"/>
    <w:rsid w:val="0088505C"/>
    <w:rsid w:val="008851D6"/>
    <w:rsid w:val="0088525F"/>
    <w:rsid w:val="008853B8"/>
    <w:rsid w:val="00885D6A"/>
    <w:rsid w:val="008865D0"/>
    <w:rsid w:val="00886D78"/>
    <w:rsid w:val="0088721F"/>
    <w:rsid w:val="008873A4"/>
    <w:rsid w:val="00887A41"/>
    <w:rsid w:val="00887E90"/>
    <w:rsid w:val="008906A4"/>
    <w:rsid w:val="00890A15"/>
    <w:rsid w:val="00890EA7"/>
    <w:rsid w:val="00891F19"/>
    <w:rsid w:val="00892123"/>
    <w:rsid w:val="008922A0"/>
    <w:rsid w:val="00892DA9"/>
    <w:rsid w:val="00893817"/>
    <w:rsid w:val="00893835"/>
    <w:rsid w:val="00893B00"/>
    <w:rsid w:val="008944FA"/>
    <w:rsid w:val="00895DCA"/>
    <w:rsid w:val="00896972"/>
    <w:rsid w:val="00896F87"/>
    <w:rsid w:val="008A00EE"/>
    <w:rsid w:val="008A00FF"/>
    <w:rsid w:val="008A04F2"/>
    <w:rsid w:val="008A0509"/>
    <w:rsid w:val="008A06A6"/>
    <w:rsid w:val="008A125A"/>
    <w:rsid w:val="008A14F8"/>
    <w:rsid w:val="008A1B0C"/>
    <w:rsid w:val="008A1C7B"/>
    <w:rsid w:val="008A2B18"/>
    <w:rsid w:val="008A2BBA"/>
    <w:rsid w:val="008A33ED"/>
    <w:rsid w:val="008A3CE0"/>
    <w:rsid w:val="008A444D"/>
    <w:rsid w:val="008A4906"/>
    <w:rsid w:val="008A4D4F"/>
    <w:rsid w:val="008A4DAA"/>
    <w:rsid w:val="008A507C"/>
    <w:rsid w:val="008A6C77"/>
    <w:rsid w:val="008A6F8A"/>
    <w:rsid w:val="008A6FBF"/>
    <w:rsid w:val="008A73F1"/>
    <w:rsid w:val="008A7C0D"/>
    <w:rsid w:val="008B0081"/>
    <w:rsid w:val="008B00E3"/>
    <w:rsid w:val="008B04FB"/>
    <w:rsid w:val="008B060A"/>
    <w:rsid w:val="008B08A4"/>
    <w:rsid w:val="008B0BDA"/>
    <w:rsid w:val="008B1430"/>
    <w:rsid w:val="008B1566"/>
    <w:rsid w:val="008B2C2E"/>
    <w:rsid w:val="008B31F6"/>
    <w:rsid w:val="008B34AC"/>
    <w:rsid w:val="008B3635"/>
    <w:rsid w:val="008B3C29"/>
    <w:rsid w:val="008B3F33"/>
    <w:rsid w:val="008B4294"/>
    <w:rsid w:val="008B4697"/>
    <w:rsid w:val="008B46E4"/>
    <w:rsid w:val="008B4954"/>
    <w:rsid w:val="008B49D4"/>
    <w:rsid w:val="008B4CF8"/>
    <w:rsid w:val="008B52EA"/>
    <w:rsid w:val="008B5397"/>
    <w:rsid w:val="008B5479"/>
    <w:rsid w:val="008B56A0"/>
    <w:rsid w:val="008B5A27"/>
    <w:rsid w:val="008B5C00"/>
    <w:rsid w:val="008B5DD8"/>
    <w:rsid w:val="008B5FDC"/>
    <w:rsid w:val="008B62FD"/>
    <w:rsid w:val="008B6490"/>
    <w:rsid w:val="008B64CC"/>
    <w:rsid w:val="008B6B91"/>
    <w:rsid w:val="008B6BEA"/>
    <w:rsid w:val="008B6C04"/>
    <w:rsid w:val="008B6DF7"/>
    <w:rsid w:val="008B6F0D"/>
    <w:rsid w:val="008B6F6C"/>
    <w:rsid w:val="008B77CD"/>
    <w:rsid w:val="008C0698"/>
    <w:rsid w:val="008C0723"/>
    <w:rsid w:val="008C0CAE"/>
    <w:rsid w:val="008C0DDA"/>
    <w:rsid w:val="008C1E6A"/>
    <w:rsid w:val="008C1F62"/>
    <w:rsid w:val="008C2564"/>
    <w:rsid w:val="008C2D2D"/>
    <w:rsid w:val="008C2E38"/>
    <w:rsid w:val="008C3025"/>
    <w:rsid w:val="008C33AC"/>
    <w:rsid w:val="008C3EE7"/>
    <w:rsid w:val="008C45DB"/>
    <w:rsid w:val="008C4A20"/>
    <w:rsid w:val="008C4BAB"/>
    <w:rsid w:val="008C4CE7"/>
    <w:rsid w:val="008C4E95"/>
    <w:rsid w:val="008C53DD"/>
    <w:rsid w:val="008C5496"/>
    <w:rsid w:val="008C54F3"/>
    <w:rsid w:val="008C5842"/>
    <w:rsid w:val="008C58A1"/>
    <w:rsid w:val="008C5DF6"/>
    <w:rsid w:val="008C6293"/>
    <w:rsid w:val="008C6D82"/>
    <w:rsid w:val="008C6F31"/>
    <w:rsid w:val="008C7106"/>
    <w:rsid w:val="008C777F"/>
    <w:rsid w:val="008D01BB"/>
    <w:rsid w:val="008D15B3"/>
    <w:rsid w:val="008D1DF9"/>
    <w:rsid w:val="008D1E0D"/>
    <w:rsid w:val="008D2254"/>
    <w:rsid w:val="008D2538"/>
    <w:rsid w:val="008D2592"/>
    <w:rsid w:val="008D2615"/>
    <w:rsid w:val="008D3958"/>
    <w:rsid w:val="008D3BEA"/>
    <w:rsid w:val="008D4213"/>
    <w:rsid w:val="008D42BC"/>
    <w:rsid w:val="008D4331"/>
    <w:rsid w:val="008D4A96"/>
    <w:rsid w:val="008D5003"/>
    <w:rsid w:val="008D57B9"/>
    <w:rsid w:val="008D5805"/>
    <w:rsid w:val="008D5825"/>
    <w:rsid w:val="008D5F32"/>
    <w:rsid w:val="008D64D9"/>
    <w:rsid w:val="008D678F"/>
    <w:rsid w:val="008D6A12"/>
    <w:rsid w:val="008D6AC2"/>
    <w:rsid w:val="008D7332"/>
    <w:rsid w:val="008D740F"/>
    <w:rsid w:val="008D74E3"/>
    <w:rsid w:val="008D78F6"/>
    <w:rsid w:val="008D7AF4"/>
    <w:rsid w:val="008D7F41"/>
    <w:rsid w:val="008E07DA"/>
    <w:rsid w:val="008E100F"/>
    <w:rsid w:val="008E13B7"/>
    <w:rsid w:val="008E1480"/>
    <w:rsid w:val="008E169A"/>
    <w:rsid w:val="008E29CF"/>
    <w:rsid w:val="008E3505"/>
    <w:rsid w:val="008E35B2"/>
    <w:rsid w:val="008E39BF"/>
    <w:rsid w:val="008E4795"/>
    <w:rsid w:val="008E47BF"/>
    <w:rsid w:val="008E4C36"/>
    <w:rsid w:val="008E4DE9"/>
    <w:rsid w:val="008E4EF9"/>
    <w:rsid w:val="008E537E"/>
    <w:rsid w:val="008E5A13"/>
    <w:rsid w:val="008E5D9E"/>
    <w:rsid w:val="008E6598"/>
    <w:rsid w:val="008E66B1"/>
    <w:rsid w:val="008E673E"/>
    <w:rsid w:val="008E7232"/>
    <w:rsid w:val="008E75EC"/>
    <w:rsid w:val="008E76A1"/>
    <w:rsid w:val="008E7B8C"/>
    <w:rsid w:val="008E7BAB"/>
    <w:rsid w:val="008F0592"/>
    <w:rsid w:val="008F07B8"/>
    <w:rsid w:val="008F08C9"/>
    <w:rsid w:val="008F21D6"/>
    <w:rsid w:val="008F2D06"/>
    <w:rsid w:val="008F4203"/>
    <w:rsid w:val="008F4567"/>
    <w:rsid w:val="008F4799"/>
    <w:rsid w:val="008F4C30"/>
    <w:rsid w:val="008F4D6F"/>
    <w:rsid w:val="008F51CE"/>
    <w:rsid w:val="008F521E"/>
    <w:rsid w:val="008F53E2"/>
    <w:rsid w:val="008F567A"/>
    <w:rsid w:val="008F5AD2"/>
    <w:rsid w:val="008F5BD3"/>
    <w:rsid w:val="008F5F86"/>
    <w:rsid w:val="008F6308"/>
    <w:rsid w:val="008F6FD6"/>
    <w:rsid w:val="008F7006"/>
    <w:rsid w:val="008F7BD3"/>
    <w:rsid w:val="008F7C54"/>
    <w:rsid w:val="0090008F"/>
    <w:rsid w:val="00900CB3"/>
    <w:rsid w:val="009011B6"/>
    <w:rsid w:val="00901327"/>
    <w:rsid w:val="00901700"/>
    <w:rsid w:val="00901C69"/>
    <w:rsid w:val="009022D4"/>
    <w:rsid w:val="0090242E"/>
    <w:rsid w:val="0090291F"/>
    <w:rsid w:val="00902AA0"/>
    <w:rsid w:val="00903093"/>
    <w:rsid w:val="009034E8"/>
    <w:rsid w:val="00903609"/>
    <w:rsid w:val="00903624"/>
    <w:rsid w:val="00903C4B"/>
    <w:rsid w:val="009040B3"/>
    <w:rsid w:val="00904733"/>
    <w:rsid w:val="00904994"/>
    <w:rsid w:val="00904C61"/>
    <w:rsid w:val="00905AEF"/>
    <w:rsid w:val="0090605B"/>
    <w:rsid w:val="0090610C"/>
    <w:rsid w:val="00906542"/>
    <w:rsid w:val="00906672"/>
    <w:rsid w:val="0090679A"/>
    <w:rsid w:val="00906C46"/>
    <w:rsid w:val="00906FE5"/>
    <w:rsid w:val="009072F7"/>
    <w:rsid w:val="0091022A"/>
    <w:rsid w:val="009108B1"/>
    <w:rsid w:val="00910C54"/>
    <w:rsid w:val="00910CA9"/>
    <w:rsid w:val="009110FE"/>
    <w:rsid w:val="00911345"/>
    <w:rsid w:val="00911D76"/>
    <w:rsid w:val="0091256F"/>
    <w:rsid w:val="00912AF4"/>
    <w:rsid w:val="00912B6B"/>
    <w:rsid w:val="00912D8B"/>
    <w:rsid w:val="00912F05"/>
    <w:rsid w:val="00914326"/>
    <w:rsid w:val="009143D9"/>
    <w:rsid w:val="009147C1"/>
    <w:rsid w:val="00914A3D"/>
    <w:rsid w:val="00914D8A"/>
    <w:rsid w:val="00914DC2"/>
    <w:rsid w:val="0091516A"/>
    <w:rsid w:val="00915851"/>
    <w:rsid w:val="00915917"/>
    <w:rsid w:val="009159CB"/>
    <w:rsid w:val="00915A17"/>
    <w:rsid w:val="00915AAE"/>
    <w:rsid w:val="00915E2E"/>
    <w:rsid w:val="00916287"/>
    <w:rsid w:val="00916888"/>
    <w:rsid w:val="009168BC"/>
    <w:rsid w:val="00916980"/>
    <w:rsid w:val="009169DA"/>
    <w:rsid w:val="00916BF7"/>
    <w:rsid w:val="00916C6A"/>
    <w:rsid w:val="00917436"/>
    <w:rsid w:val="00917452"/>
    <w:rsid w:val="00917C3C"/>
    <w:rsid w:val="00917F74"/>
    <w:rsid w:val="009205FE"/>
    <w:rsid w:val="00920862"/>
    <w:rsid w:val="00920984"/>
    <w:rsid w:val="00920A03"/>
    <w:rsid w:val="009213FF"/>
    <w:rsid w:val="00921A00"/>
    <w:rsid w:val="0092220D"/>
    <w:rsid w:val="0092316D"/>
    <w:rsid w:val="00924460"/>
    <w:rsid w:val="009245C2"/>
    <w:rsid w:val="00924CE6"/>
    <w:rsid w:val="0092524D"/>
    <w:rsid w:val="00925652"/>
    <w:rsid w:val="0092685F"/>
    <w:rsid w:val="00926FD8"/>
    <w:rsid w:val="00927EDA"/>
    <w:rsid w:val="00927F96"/>
    <w:rsid w:val="009305CB"/>
    <w:rsid w:val="00931650"/>
    <w:rsid w:val="009322B9"/>
    <w:rsid w:val="0093235B"/>
    <w:rsid w:val="009326EE"/>
    <w:rsid w:val="009328A3"/>
    <w:rsid w:val="009328B2"/>
    <w:rsid w:val="00932951"/>
    <w:rsid w:val="00932EE3"/>
    <w:rsid w:val="00933281"/>
    <w:rsid w:val="009332A3"/>
    <w:rsid w:val="00933350"/>
    <w:rsid w:val="00933F60"/>
    <w:rsid w:val="009341E3"/>
    <w:rsid w:val="00934739"/>
    <w:rsid w:val="00934B7E"/>
    <w:rsid w:val="00935A3A"/>
    <w:rsid w:val="00935DE8"/>
    <w:rsid w:val="00935F24"/>
    <w:rsid w:val="009364D0"/>
    <w:rsid w:val="0093685F"/>
    <w:rsid w:val="00936DFE"/>
    <w:rsid w:val="0093762C"/>
    <w:rsid w:val="00937783"/>
    <w:rsid w:val="00937CA6"/>
    <w:rsid w:val="00937E3C"/>
    <w:rsid w:val="00937F37"/>
    <w:rsid w:val="009400F8"/>
    <w:rsid w:val="00940502"/>
    <w:rsid w:val="0094071C"/>
    <w:rsid w:val="00940774"/>
    <w:rsid w:val="0094078E"/>
    <w:rsid w:val="009413A6"/>
    <w:rsid w:val="00941610"/>
    <w:rsid w:val="00941CC7"/>
    <w:rsid w:val="00941D3D"/>
    <w:rsid w:val="00942BA8"/>
    <w:rsid w:val="00942E9E"/>
    <w:rsid w:val="00943073"/>
    <w:rsid w:val="0094323A"/>
    <w:rsid w:val="0094336E"/>
    <w:rsid w:val="00943494"/>
    <w:rsid w:val="009436A4"/>
    <w:rsid w:val="00943E4B"/>
    <w:rsid w:val="00943E8E"/>
    <w:rsid w:val="009448F4"/>
    <w:rsid w:val="0094503A"/>
    <w:rsid w:val="00945214"/>
    <w:rsid w:val="00945CA0"/>
    <w:rsid w:val="009462E7"/>
    <w:rsid w:val="009468BD"/>
    <w:rsid w:val="00946AF7"/>
    <w:rsid w:val="00947635"/>
    <w:rsid w:val="009477E4"/>
    <w:rsid w:val="00947B2F"/>
    <w:rsid w:val="00947BB2"/>
    <w:rsid w:val="00950020"/>
    <w:rsid w:val="009501D3"/>
    <w:rsid w:val="00950496"/>
    <w:rsid w:val="009506FD"/>
    <w:rsid w:val="00950A42"/>
    <w:rsid w:val="00950DE3"/>
    <w:rsid w:val="0095105A"/>
    <w:rsid w:val="009516B4"/>
    <w:rsid w:val="0095290F"/>
    <w:rsid w:val="00953059"/>
    <w:rsid w:val="009530F9"/>
    <w:rsid w:val="009537C4"/>
    <w:rsid w:val="00953AC0"/>
    <w:rsid w:val="00953E85"/>
    <w:rsid w:val="00953F6E"/>
    <w:rsid w:val="0095452B"/>
    <w:rsid w:val="009552AB"/>
    <w:rsid w:val="0095641E"/>
    <w:rsid w:val="00957B31"/>
    <w:rsid w:val="00960800"/>
    <w:rsid w:val="00960FBC"/>
    <w:rsid w:val="0096169F"/>
    <w:rsid w:val="00961B70"/>
    <w:rsid w:val="00961BCA"/>
    <w:rsid w:val="00962182"/>
    <w:rsid w:val="009627D1"/>
    <w:rsid w:val="00963467"/>
    <w:rsid w:val="00963989"/>
    <w:rsid w:val="00964143"/>
    <w:rsid w:val="009648A5"/>
    <w:rsid w:val="00964B48"/>
    <w:rsid w:val="00964B70"/>
    <w:rsid w:val="00964C64"/>
    <w:rsid w:val="00964E0E"/>
    <w:rsid w:val="00965114"/>
    <w:rsid w:val="00965125"/>
    <w:rsid w:val="009660E2"/>
    <w:rsid w:val="00966670"/>
    <w:rsid w:val="009669D1"/>
    <w:rsid w:val="00966CA2"/>
    <w:rsid w:val="00967B4C"/>
    <w:rsid w:val="00970745"/>
    <w:rsid w:val="009709E6"/>
    <w:rsid w:val="00970D21"/>
    <w:rsid w:val="00970F82"/>
    <w:rsid w:val="00971B51"/>
    <w:rsid w:val="009724AD"/>
    <w:rsid w:val="00973233"/>
    <w:rsid w:val="00973719"/>
    <w:rsid w:val="009737F0"/>
    <w:rsid w:val="009739AF"/>
    <w:rsid w:val="00973C5C"/>
    <w:rsid w:val="00973C8C"/>
    <w:rsid w:val="009742FE"/>
    <w:rsid w:val="00974318"/>
    <w:rsid w:val="0097463C"/>
    <w:rsid w:val="00974B4B"/>
    <w:rsid w:val="00975CFB"/>
    <w:rsid w:val="00975FE6"/>
    <w:rsid w:val="00976074"/>
    <w:rsid w:val="00976A00"/>
    <w:rsid w:val="00976A0F"/>
    <w:rsid w:val="00976A48"/>
    <w:rsid w:val="0097772A"/>
    <w:rsid w:val="00977B6D"/>
    <w:rsid w:val="009801D5"/>
    <w:rsid w:val="009803CE"/>
    <w:rsid w:val="0098050B"/>
    <w:rsid w:val="00980F9D"/>
    <w:rsid w:val="00981B64"/>
    <w:rsid w:val="00982416"/>
    <w:rsid w:val="00982578"/>
    <w:rsid w:val="009830D6"/>
    <w:rsid w:val="00983521"/>
    <w:rsid w:val="009835A6"/>
    <w:rsid w:val="009837CD"/>
    <w:rsid w:val="00983C86"/>
    <w:rsid w:val="009842A6"/>
    <w:rsid w:val="009842E3"/>
    <w:rsid w:val="00984A30"/>
    <w:rsid w:val="00984A9F"/>
    <w:rsid w:val="00985B20"/>
    <w:rsid w:val="0098610E"/>
    <w:rsid w:val="00986538"/>
    <w:rsid w:val="00986596"/>
    <w:rsid w:val="009865B8"/>
    <w:rsid w:val="0098660F"/>
    <w:rsid w:val="00986AA2"/>
    <w:rsid w:val="00986D05"/>
    <w:rsid w:val="00987136"/>
    <w:rsid w:val="009871D6"/>
    <w:rsid w:val="00987299"/>
    <w:rsid w:val="0098796C"/>
    <w:rsid w:val="00987F4A"/>
    <w:rsid w:val="00990004"/>
    <w:rsid w:val="00990502"/>
    <w:rsid w:val="009907CD"/>
    <w:rsid w:val="009911B6"/>
    <w:rsid w:val="0099147A"/>
    <w:rsid w:val="009914C5"/>
    <w:rsid w:val="00991BF6"/>
    <w:rsid w:val="00991C14"/>
    <w:rsid w:val="00991C97"/>
    <w:rsid w:val="009926C8"/>
    <w:rsid w:val="009928A1"/>
    <w:rsid w:val="009940A7"/>
    <w:rsid w:val="00994158"/>
    <w:rsid w:val="00994236"/>
    <w:rsid w:val="009945ED"/>
    <w:rsid w:val="00994AF6"/>
    <w:rsid w:val="0099501B"/>
    <w:rsid w:val="0099540A"/>
    <w:rsid w:val="00995467"/>
    <w:rsid w:val="009954E6"/>
    <w:rsid w:val="00995523"/>
    <w:rsid w:val="009957A5"/>
    <w:rsid w:val="00995C27"/>
    <w:rsid w:val="009962EC"/>
    <w:rsid w:val="009963CA"/>
    <w:rsid w:val="0099697F"/>
    <w:rsid w:val="00996E04"/>
    <w:rsid w:val="009971BE"/>
    <w:rsid w:val="009972D4"/>
    <w:rsid w:val="00997801"/>
    <w:rsid w:val="00997E69"/>
    <w:rsid w:val="00997E7D"/>
    <w:rsid w:val="009A0C88"/>
    <w:rsid w:val="009A186C"/>
    <w:rsid w:val="009A1FE4"/>
    <w:rsid w:val="009A2A24"/>
    <w:rsid w:val="009A39AC"/>
    <w:rsid w:val="009A4140"/>
    <w:rsid w:val="009A4393"/>
    <w:rsid w:val="009A5493"/>
    <w:rsid w:val="009A5561"/>
    <w:rsid w:val="009A5791"/>
    <w:rsid w:val="009A5F87"/>
    <w:rsid w:val="009A65B4"/>
    <w:rsid w:val="009A6C57"/>
    <w:rsid w:val="009A6C9F"/>
    <w:rsid w:val="009A71A9"/>
    <w:rsid w:val="009A7316"/>
    <w:rsid w:val="009A756C"/>
    <w:rsid w:val="009A76D6"/>
    <w:rsid w:val="009A77FE"/>
    <w:rsid w:val="009A783F"/>
    <w:rsid w:val="009A7B19"/>
    <w:rsid w:val="009A7C9B"/>
    <w:rsid w:val="009A7DCA"/>
    <w:rsid w:val="009A7F67"/>
    <w:rsid w:val="009B0300"/>
    <w:rsid w:val="009B1224"/>
    <w:rsid w:val="009B1691"/>
    <w:rsid w:val="009B1C8E"/>
    <w:rsid w:val="009B1CD6"/>
    <w:rsid w:val="009B234F"/>
    <w:rsid w:val="009B2CCA"/>
    <w:rsid w:val="009B2DFB"/>
    <w:rsid w:val="009B31CB"/>
    <w:rsid w:val="009B408F"/>
    <w:rsid w:val="009B416B"/>
    <w:rsid w:val="009B54A8"/>
    <w:rsid w:val="009B5728"/>
    <w:rsid w:val="009B614D"/>
    <w:rsid w:val="009B6DAA"/>
    <w:rsid w:val="009B7911"/>
    <w:rsid w:val="009B7CA4"/>
    <w:rsid w:val="009C00CB"/>
    <w:rsid w:val="009C01CB"/>
    <w:rsid w:val="009C078F"/>
    <w:rsid w:val="009C0DEC"/>
    <w:rsid w:val="009C1441"/>
    <w:rsid w:val="009C1535"/>
    <w:rsid w:val="009C1BF9"/>
    <w:rsid w:val="009C29D7"/>
    <w:rsid w:val="009C2AB5"/>
    <w:rsid w:val="009C2D82"/>
    <w:rsid w:val="009C2F99"/>
    <w:rsid w:val="009C31D2"/>
    <w:rsid w:val="009C33CC"/>
    <w:rsid w:val="009C39EF"/>
    <w:rsid w:val="009C3B16"/>
    <w:rsid w:val="009C3FA2"/>
    <w:rsid w:val="009C4275"/>
    <w:rsid w:val="009C4B9B"/>
    <w:rsid w:val="009C5158"/>
    <w:rsid w:val="009C63EF"/>
    <w:rsid w:val="009C6556"/>
    <w:rsid w:val="009C6887"/>
    <w:rsid w:val="009C6950"/>
    <w:rsid w:val="009C6BE9"/>
    <w:rsid w:val="009C7284"/>
    <w:rsid w:val="009C76F7"/>
    <w:rsid w:val="009C776D"/>
    <w:rsid w:val="009C7A84"/>
    <w:rsid w:val="009C7DE7"/>
    <w:rsid w:val="009D00AA"/>
    <w:rsid w:val="009D149C"/>
    <w:rsid w:val="009D1A1F"/>
    <w:rsid w:val="009D1F95"/>
    <w:rsid w:val="009D2CE4"/>
    <w:rsid w:val="009D4232"/>
    <w:rsid w:val="009D4334"/>
    <w:rsid w:val="009D48D2"/>
    <w:rsid w:val="009D4BC7"/>
    <w:rsid w:val="009D5231"/>
    <w:rsid w:val="009D5235"/>
    <w:rsid w:val="009D5850"/>
    <w:rsid w:val="009D59F4"/>
    <w:rsid w:val="009D6856"/>
    <w:rsid w:val="009D6C61"/>
    <w:rsid w:val="009D71B9"/>
    <w:rsid w:val="009D7576"/>
    <w:rsid w:val="009D7A23"/>
    <w:rsid w:val="009E02B3"/>
    <w:rsid w:val="009E042F"/>
    <w:rsid w:val="009E05E9"/>
    <w:rsid w:val="009E0B4D"/>
    <w:rsid w:val="009E0BC5"/>
    <w:rsid w:val="009E0F6F"/>
    <w:rsid w:val="009E168D"/>
    <w:rsid w:val="009E191D"/>
    <w:rsid w:val="009E1942"/>
    <w:rsid w:val="009E1C2C"/>
    <w:rsid w:val="009E2DC5"/>
    <w:rsid w:val="009E2E3D"/>
    <w:rsid w:val="009E3C54"/>
    <w:rsid w:val="009E4867"/>
    <w:rsid w:val="009E4BF9"/>
    <w:rsid w:val="009E4E01"/>
    <w:rsid w:val="009E4F7B"/>
    <w:rsid w:val="009E5D5F"/>
    <w:rsid w:val="009E6BE7"/>
    <w:rsid w:val="009E7085"/>
    <w:rsid w:val="009E7A1D"/>
    <w:rsid w:val="009F0385"/>
    <w:rsid w:val="009F0427"/>
    <w:rsid w:val="009F0A8A"/>
    <w:rsid w:val="009F1161"/>
    <w:rsid w:val="009F168D"/>
    <w:rsid w:val="009F1931"/>
    <w:rsid w:val="009F25FC"/>
    <w:rsid w:val="009F278B"/>
    <w:rsid w:val="009F2FAC"/>
    <w:rsid w:val="009F35FA"/>
    <w:rsid w:val="009F3A79"/>
    <w:rsid w:val="009F447B"/>
    <w:rsid w:val="009F47D0"/>
    <w:rsid w:val="009F495E"/>
    <w:rsid w:val="009F4982"/>
    <w:rsid w:val="009F4F50"/>
    <w:rsid w:val="009F573E"/>
    <w:rsid w:val="009F59B1"/>
    <w:rsid w:val="009F59E0"/>
    <w:rsid w:val="009F5ADC"/>
    <w:rsid w:val="009F5CB9"/>
    <w:rsid w:val="009F6B09"/>
    <w:rsid w:val="009F6FF1"/>
    <w:rsid w:val="009F722A"/>
    <w:rsid w:val="009F7CBC"/>
    <w:rsid w:val="00A0040F"/>
    <w:rsid w:val="00A00D0C"/>
    <w:rsid w:val="00A011A1"/>
    <w:rsid w:val="00A01275"/>
    <w:rsid w:val="00A01C21"/>
    <w:rsid w:val="00A01D6E"/>
    <w:rsid w:val="00A02089"/>
    <w:rsid w:val="00A02098"/>
    <w:rsid w:val="00A020AD"/>
    <w:rsid w:val="00A02245"/>
    <w:rsid w:val="00A02514"/>
    <w:rsid w:val="00A0299A"/>
    <w:rsid w:val="00A03073"/>
    <w:rsid w:val="00A032E2"/>
    <w:rsid w:val="00A03783"/>
    <w:rsid w:val="00A03A8D"/>
    <w:rsid w:val="00A04375"/>
    <w:rsid w:val="00A044AD"/>
    <w:rsid w:val="00A0477A"/>
    <w:rsid w:val="00A05576"/>
    <w:rsid w:val="00A0589E"/>
    <w:rsid w:val="00A067C9"/>
    <w:rsid w:val="00A06A3B"/>
    <w:rsid w:val="00A07532"/>
    <w:rsid w:val="00A07E4C"/>
    <w:rsid w:val="00A111A0"/>
    <w:rsid w:val="00A11CB3"/>
    <w:rsid w:val="00A11E1D"/>
    <w:rsid w:val="00A11E9A"/>
    <w:rsid w:val="00A122F8"/>
    <w:rsid w:val="00A12DEF"/>
    <w:rsid w:val="00A12EDF"/>
    <w:rsid w:val="00A132C2"/>
    <w:rsid w:val="00A13671"/>
    <w:rsid w:val="00A14ADB"/>
    <w:rsid w:val="00A14D7E"/>
    <w:rsid w:val="00A1504C"/>
    <w:rsid w:val="00A15284"/>
    <w:rsid w:val="00A15958"/>
    <w:rsid w:val="00A15AF3"/>
    <w:rsid w:val="00A15CA6"/>
    <w:rsid w:val="00A15F8A"/>
    <w:rsid w:val="00A161AA"/>
    <w:rsid w:val="00A16271"/>
    <w:rsid w:val="00A16474"/>
    <w:rsid w:val="00A20266"/>
    <w:rsid w:val="00A2145B"/>
    <w:rsid w:val="00A21971"/>
    <w:rsid w:val="00A22033"/>
    <w:rsid w:val="00A222F4"/>
    <w:rsid w:val="00A23393"/>
    <w:rsid w:val="00A23670"/>
    <w:rsid w:val="00A2402C"/>
    <w:rsid w:val="00A24B33"/>
    <w:rsid w:val="00A24C52"/>
    <w:rsid w:val="00A250BC"/>
    <w:rsid w:val="00A25D07"/>
    <w:rsid w:val="00A25E10"/>
    <w:rsid w:val="00A2631B"/>
    <w:rsid w:val="00A265BB"/>
    <w:rsid w:val="00A26EFC"/>
    <w:rsid w:val="00A26FA4"/>
    <w:rsid w:val="00A270CF"/>
    <w:rsid w:val="00A27327"/>
    <w:rsid w:val="00A275D1"/>
    <w:rsid w:val="00A27A74"/>
    <w:rsid w:val="00A27AFB"/>
    <w:rsid w:val="00A27BB1"/>
    <w:rsid w:val="00A30153"/>
    <w:rsid w:val="00A30475"/>
    <w:rsid w:val="00A306CC"/>
    <w:rsid w:val="00A31120"/>
    <w:rsid w:val="00A314EB"/>
    <w:rsid w:val="00A31594"/>
    <w:rsid w:val="00A31A5F"/>
    <w:rsid w:val="00A31C6B"/>
    <w:rsid w:val="00A3225C"/>
    <w:rsid w:val="00A32B90"/>
    <w:rsid w:val="00A3361A"/>
    <w:rsid w:val="00A33690"/>
    <w:rsid w:val="00A3396B"/>
    <w:rsid w:val="00A33B30"/>
    <w:rsid w:val="00A341A6"/>
    <w:rsid w:val="00A34475"/>
    <w:rsid w:val="00A34F22"/>
    <w:rsid w:val="00A350C8"/>
    <w:rsid w:val="00A3553B"/>
    <w:rsid w:val="00A356BC"/>
    <w:rsid w:val="00A35D85"/>
    <w:rsid w:val="00A35ECF"/>
    <w:rsid w:val="00A363A9"/>
    <w:rsid w:val="00A363C0"/>
    <w:rsid w:val="00A36DF1"/>
    <w:rsid w:val="00A372D1"/>
    <w:rsid w:val="00A37856"/>
    <w:rsid w:val="00A379F2"/>
    <w:rsid w:val="00A37B95"/>
    <w:rsid w:val="00A40662"/>
    <w:rsid w:val="00A406D3"/>
    <w:rsid w:val="00A4083A"/>
    <w:rsid w:val="00A41374"/>
    <w:rsid w:val="00A416F4"/>
    <w:rsid w:val="00A418DC"/>
    <w:rsid w:val="00A4198A"/>
    <w:rsid w:val="00A41C7F"/>
    <w:rsid w:val="00A4296E"/>
    <w:rsid w:val="00A4388F"/>
    <w:rsid w:val="00A43BBA"/>
    <w:rsid w:val="00A44488"/>
    <w:rsid w:val="00A449E7"/>
    <w:rsid w:val="00A44E06"/>
    <w:rsid w:val="00A450C2"/>
    <w:rsid w:val="00A45816"/>
    <w:rsid w:val="00A45B2C"/>
    <w:rsid w:val="00A45EA2"/>
    <w:rsid w:val="00A46492"/>
    <w:rsid w:val="00A4698D"/>
    <w:rsid w:val="00A46A1C"/>
    <w:rsid w:val="00A46D28"/>
    <w:rsid w:val="00A46E89"/>
    <w:rsid w:val="00A473CF"/>
    <w:rsid w:val="00A474AC"/>
    <w:rsid w:val="00A47825"/>
    <w:rsid w:val="00A47998"/>
    <w:rsid w:val="00A47CAE"/>
    <w:rsid w:val="00A47D52"/>
    <w:rsid w:val="00A47DA3"/>
    <w:rsid w:val="00A47F51"/>
    <w:rsid w:val="00A5022C"/>
    <w:rsid w:val="00A5045A"/>
    <w:rsid w:val="00A51041"/>
    <w:rsid w:val="00A511A8"/>
    <w:rsid w:val="00A51761"/>
    <w:rsid w:val="00A51855"/>
    <w:rsid w:val="00A525CF"/>
    <w:rsid w:val="00A52662"/>
    <w:rsid w:val="00A52C85"/>
    <w:rsid w:val="00A53768"/>
    <w:rsid w:val="00A53826"/>
    <w:rsid w:val="00A54113"/>
    <w:rsid w:val="00A54A30"/>
    <w:rsid w:val="00A55449"/>
    <w:rsid w:val="00A5562B"/>
    <w:rsid w:val="00A556AD"/>
    <w:rsid w:val="00A5659B"/>
    <w:rsid w:val="00A56A57"/>
    <w:rsid w:val="00A56CD6"/>
    <w:rsid w:val="00A5704B"/>
    <w:rsid w:val="00A5728F"/>
    <w:rsid w:val="00A60271"/>
    <w:rsid w:val="00A60601"/>
    <w:rsid w:val="00A60F06"/>
    <w:rsid w:val="00A61283"/>
    <w:rsid w:val="00A61C89"/>
    <w:rsid w:val="00A61CE2"/>
    <w:rsid w:val="00A6221A"/>
    <w:rsid w:val="00A626A0"/>
    <w:rsid w:val="00A62FEA"/>
    <w:rsid w:val="00A631A0"/>
    <w:rsid w:val="00A6414E"/>
    <w:rsid w:val="00A64CC4"/>
    <w:rsid w:val="00A65312"/>
    <w:rsid w:val="00A658F6"/>
    <w:rsid w:val="00A65CBE"/>
    <w:rsid w:val="00A65D64"/>
    <w:rsid w:val="00A66F6E"/>
    <w:rsid w:val="00A670B7"/>
    <w:rsid w:val="00A671C3"/>
    <w:rsid w:val="00A6759B"/>
    <w:rsid w:val="00A67A03"/>
    <w:rsid w:val="00A67E17"/>
    <w:rsid w:val="00A70215"/>
    <w:rsid w:val="00A704F7"/>
    <w:rsid w:val="00A705F1"/>
    <w:rsid w:val="00A706C6"/>
    <w:rsid w:val="00A70706"/>
    <w:rsid w:val="00A70941"/>
    <w:rsid w:val="00A70CB5"/>
    <w:rsid w:val="00A7113C"/>
    <w:rsid w:val="00A71225"/>
    <w:rsid w:val="00A717BE"/>
    <w:rsid w:val="00A719FE"/>
    <w:rsid w:val="00A7258C"/>
    <w:rsid w:val="00A727EB"/>
    <w:rsid w:val="00A7313F"/>
    <w:rsid w:val="00A7314A"/>
    <w:rsid w:val="00A73865"/>
    <w:rsid w:val="00A73E70"/>
    <w:rsid w:val="00A74AB6"/>
    <w:rsid w:val="00A7717A"/>
    <w:rsid w:val="00A773DF"/>
    <w:rsid w:val="00A775CD"/>
    <w:rsid w:val="00A8018B"/>
    <w:rsid w:val="00A808E4"/>
    <w:rsid w:val="00A80BD9"/>
    <w:rsid w:val="00A80CBA"/>
    <w:rsid w:val="00A81A0A"/>
    <w:rsid w:val="00A82079"/>
    <w:rsid w:val="00A82565"/>
    <w:rsid w:val="00A82586"/>
    <w:rsid w:val="00A82AFE"/>
    <w:rsid w:val="00A839DC"/>
    <w:rsid w:val="00A83A3D"/>
    <w:rsid w:val="00A83C77"/>
    <w:rsid w:val="00A8447C"/>
    <w:rsid w:val="00A84628"/>
    <w:rsid w:val="00A8462B"/>
    <w:rsid w:val="00A8494F"/>
    <w:rsid w:val="00A84E7C"/>
    <w:rsid w:val="00A8608B"/>
    <w:rsid w:val="00A8640A"/>
    <w:rsid w:val="00A86419"/>
    <w:rsid w:val="00A86CF3"/>
    <w:rsid w:val="00A87206"/>
    <w:rsid w:val="00A90009"/>
    <w:rsid w:val="00A9031A"/>
    <w:rsid w:val="00A90C27"/>
    <w:rsid w:val="00A91229"/>
    <w:rsid w:val="00A9169E"/>
    <w:rsid w:val="00A917E4"/>
    <w:rsid w:val="00A91D18"/>
    <w:rsid w:val="00A91D98"/>
    <w:rsid w:val="00A91DC2"/>
    <w:rsid w:val="00A92173"/>
    <w:rsid w:val="00A92201"/>
    <w:rsid w:val="00A9234F"/>
    <w:rsid w:val="00A92E03"/>
    <w:rsid w:val="00A9357E"/>
    <w:rsid w:val="00A9385D"/>
    <w:rsid w:val="00A939B9"/>
    <w:rsid w:val="00A94499"/>
    <w:rsid w:val="00A94B41"/>
    <w:rsid w:val="00A94FEF"/>
    <w:rsid w:val="00A9543E"/>
    <w:rsid w:val="00A95F4C"/>
    <w:rsid w:val="00A960A3"/>
    <w:rsid w:val="00A96BE9"/>
    <w:rsid w:val="00A97061"/>
    <w:rsid w:val="00A9721F"/>
    <w:rsid w:val="00A97551"/>
    <w:rsid w:val="00A97F7D"/>
    <w:rsid w:val="00AA00B1"/>
    <w:rsid w:val="00AA0229"/>
    <w:rsid w:val="00AA0424"/>
    <w:rsid w:val="00AA0469"/>
    <w:rsid w:val="00AA0FBD"/>
    <w:rsid w:val="00AA1339"/>
    <w:rsid w:val="00AA1838"/>
    <w:rsid w:val="00AA1930"/>
    <w:rsid w:val="00AA1D85"/>
    <w:rsid w:val="00AA1E84"/>
    <w:rsid w:val="00AA20DD"/>
    <w:rsid w:val="00AA2A3A"/>
    <w:rsid w:val="00AA2A55"/>
    <w:rsid w:val="00AA2BD8"/>
    <w:rsid w:val="00AA2F02"/>
    <w:rsid w:val="00AA310A"/>
    <w:rsid w:val="00AA339E"/>
    <w:rsid w:val="00AA35B9"/>
    <w:rsid w:val="00AA43DA"/>
    <w:rsid w:val="00AA4DEB"/>
    <w:rsid w:val="00AA4F89"/>
    <w:rsid w:val="00AA5856"/>
    <w:rsid w:val="00AA60CF"/>
    <w:rsid w:val="00AA63B1"/>
    <w:rsid w:val="00AA66F5"/>
    <w:rsid w:val="00AA67B5"/>
    <w:rsid w:val="00AA6BC8"/>
    <w:rsid w:val="00AA737A"/>
    <w:rsid w:val="00AB04CB"/>
    <w:rsid w:val="00AB04EB"/>
    <w:rsid w:val="00AB0B46"/>
    <w:rsid w:val="00AB1386"/>
    <w:rsid w:val="00AB3069"/>
    <w:rsid w:val="00AB3222"/>
    <w:rsid w:val="00AB3428"/>
    <w:rsid w:val="00AB37F0"/>
    <w:rsid w:val="00AB3815"/>
    <w:rsid w:val="00AB4168"/>
    <w:rsid w:val="00AB4AB1"/>
    <w:rsid w:val="00AB4BAF"/>
    <w:rsid w:val="00AB51DD"/>
    <w:rsid w:val="00AB5956"/>
    <w:rsid w:val="00AB5ACC"/>
    <w:rsid w:val="00AB5F3B"/>
    <w:rsid w:val="00AB769D"/>
    <w:rsid w:val="00AB7892"/>
    <w:rsid w:val="00AB7974"/>
    <w:rsid w:val="00AB7DC7"/>
    <w:rsid w:val="00AC094D"/>
    <w:rsid w:val="00AC0AE3"/>
    <w:rsid w:val="00AC0CCD"/>
    <w:rsid w:val="00AC10AC"/>
    <w:rsid w:val="00AC14D8"/>
    <w:rsid w:val="00AC1BB5"/>
    <w:rsid w:val="00AC1DD3"/>
    <w:rsid w:val="00AC2214"/>
    <w:rsid w:val="00AC2BCA"/>
    <w:rsid w:val="00AC2C16"/>
    <w:rsid w:val="00AC3611"/>
    <w:rsid w:val="00AC37A2"/>
    <w:rsid w:val="00AC38EF"/>
    <w:rsid w:val="00AC39B9"/>
    <w:rsid w:val="00AC39D7"/>
    <w:rsid w:val="00AC3BF0"/>
    <w:rsid w:val="00AC3FA7"/>
    <w:rsid w:val="00AC4500"/>
    <w:rsid w:val="00AC4AD7"/>
    <w:rsid w:val="00AC4D5D"/>
    <w:rsid w:val="00AC5DC9"/>
    <w:rsid w:val="00AC7979"/>
    <w:rsid w:val="00AC7BF3"/>
    <w:rsid w:val="00AD023D"/>
    <w:rsid w:val="00AD07F7"/>
    <w:rsid w:val="00AD090A"/>
    <w:rsid w:val="00AD0B5E"/>
    <w:rsid w:val="00AD0CF2"/>
    <w:rsid w:val="00AD0F8D"/>
    <w:rsid w:val="00AD13F3"/>
    <w:rsid w:val="00AD16D9"/>
    <w:rsid w:val="00AD1F65"/>
    <w:rsid w:val="00AD287B"/>
    <w:rsid w:val="00AD29BA"/>
    <w:rsid w:val="00AD2B4C"/>
    <w:rsid w:val="00AD2BB0"/>
    <w:rsid w:val="00AD2FB1"/>
    <w:rsid w:val="00AD2FD9"/>
    <w:rsid w:val="00AD35D1"/>
    <w:rsid w:val="00AD3800"/>
    <w:rsid w:val="00AD3B80"/>
    <w:rsid w:val="00AD419F"/>
    <w:rsid w:val="00AD4754"/>
    <w:rsid w:val="00AD47F6"/>
    <w:rsid w:val="00AD4850"/>
    <w:rsid w:val="00AD5088"/>
    <w:rsid w:val="00AD5796"/>
    <w:rsid w:val="00AD5EED"/>
    <w:rsid w:val="00AD5FC3"/>
    <w:rsid w:val="00AD616B"/>
    <w:rsid w:val="00AD6761"/>
    <w:rsid w:val="00AD73C8"/>
    <w:rsid w:val="00AD73CE"/>
    <w:rsid w:val="00AE02D0"/>
    <w:rsid w:val="00AE0403"/>
    <w:rsid w:val="00AE0972"/>
    <w:rsid w:val="00AE1594"/>
    <w:rsid w:val="00AE16C3"/>
    <w:rsid w:val="00AE18E2"/>
    <w:rsid w:val="00AE1B49"/>
    <w:rsid w:val="00AE1D71"/>
    <w:rsid w:val="00AE2AE9"/>
    <w:rsid w:val="00AE40C1"/>
    <w:rsid w:val="00AE4694"/>
    <w:rsid w:val="00AE47FC"/>
    <w:rsid w:val="00AE4F51"/>
    <w:rsid w:val="00AE5A15"/>
    <w:rsid w:val="00AE5BFB"/>
    <w:rsid w:val="00AE6478"/>
    <w:rsid w:val="00AE6770"/>
    <w:rsid w:val="00AE68D9"/>
    <w:rsid w:val="00AE690A"/>
    <w:rsid w:val="00AE6A9B"/>
    <w:rsid w:val="00AE6F59"/>
    <w:rsid w:val="00AE6F71"/>
    <w:rsid w:val="00AE7300"/>
    <w:rsid w:val="00AE7A08"/>
    <w:rsid w:val="00AE7B86"/>
    <w:rsid w:val="00AF0446"/>
    <w:rsid w:val="00AF0D4C"/>
    <w:rsid w:val="00AF1046"/>
    <w:rsid w:val="00AF1751"/>
    <w:rsid w:val="00AF17D8"/>
    <w:rsid w:val="00AF1D24"/>
    <w:rsid w:val="00AF1E97"/>
    <w:rsid w:val="00AF210A"/>
    <w:rsid w:val="00AF22C4"/>
    <w:rsid w:val="00AF23EA"/>
    <w:rsid w:val="00AF2C1C"/>
    <w:rsid w:val="00AF2EE5"/>
    <w:rsid w:val="00AF337A"/>
    <w:rsid w:val="00AF356D"/>
    <w:rsid w:val="00AF37DD"/>
    <w:rsid w:val="00AF3E75"/>
    <w:rsid w:val="00AF3F88"/>
    <w:rsid w:val="00AF4029"/>
    <w:rsid w:val="00AF4187"/>
    <w:rsid w:val="00AF4594"/>
    <w:rsid w:val="00AF498F"/>
    <w:rsid w:val="00AF4E97"/>
    <w:rsid w:val="00AF4F51"/>
    <w:rsid w:val="00AF4F63"/>
    <w:rsid w:val="00AF51EF"/>
    <w:rsid w:val="00AF5EFD"/>
    <w:rsid w:val="00AF60F7"/>
    <w:rsid w:val="00AF6595"/>
    <w:rsid w:val="00AF663D"/>
    <w:rsid w:val="00AF6CC9"/>
    <w:rsid w:val="00AF6DAD"/>
    <w:rsid w:val="00AF7275"/>
    <w:rsid w:val="00AF79D4"/>
    <w:rsid w:val="00B001F1"/>
    <w:rsid w:val="00B00E00"/>
    <w:rsid w:val="00B01334"/>
    <w:rsid w:val="00B01C2A"/>
    <w:rsid w:val="00B01E8C"/>
    <w:rsid w:val="00B02301"/>
    <w:rsid w:val="00B02365"/>
    <w:rsid w:val="00B025A7"/>
    <w:rsid w:val="00B0397D"/>
    <w:rsid w:val="00B04095"/>
    <w:rsid w:val="00B041AF"/>
    <w:rsid w:val="00B04308"/>
    <w:rsid w:val="00B0455E"/>
    <w:rsid w:val="00B0475C"/>
    <w:rsid w:val="00B04B3D"/>
    <w:rsid w:val="00B04C4C"/>
    <w:rsid w:val="00B04C78"/>
    <w:rsid w:val="00B051E7"/>
    <w:rsid w:val="00B05336"/>
    <w:rsid w:val="00B05504"/>
    <w:rsid w:val="00B05CE9"/>
    <w:rsid w:val="00B06817"/>
    <w:rsid w:val="00B06DA2"/>
    <w:rsid w:val="00B06F28"/>
    <w:rsid w:val="00B071A2"/>
    <w:rsid w:val="00B07699"/>
    <w:rsid w:val="00B07B4A"/>
    <w:rsid w:val="00B07EA9"/>
    <w:rsid w:val="00B110EF"/>
    <w:rsid w:val="00B11493"/>
    <w:rsid w:val="00B11955"/>
    <w:rsid w:val="00B11C7D"/>
    <w:rsid w:val="00B122AC"/>
    <w:rsid w:val="00B13720"/>
    <w:rsid w:val="00B13DBF"/>
    <w:rsid w:val="00B145CC"/>
    <w:rsid w:val="00B14AF6"/>
    <w:rsid w:val="00B14DB3"/>
    <w:rsid w:val="00B14E24"/>
    <w:rsid w:val="00B14FDC"/>
    <w:rsid w:val="00B1523F"/>
    <w:rsid w:val="00B15444"/>
    <w:rsid w:val="00B15D00"/>
    <w:rsid w:val="00B20772"/>
    <w:rsid w:val="00B20FAB"/>
    <w:rsid w:val="00B217FF"/>
    <w:rsid w:val="00B2195D"/>
    <w:rsid w:val="00B21C36"/>
    <w:rsid w:val="00B21F3B"/>
    <w:rsid w:val="00B221F3"/>
    <w:rsid w:val="00B2220A"/>
    <w:rsid w:val="00B22FE2"/>
    <w:rsid w:val="00B23F92"/>
    <w:rsid w:val="00B2402E"/>
    <w:rsid w:val="00B24751"/>
    <w:rsid w:val="00B256FE"/>
    <w:rsid w:val="00B259FA"/>
    <w:rsid w:val="00B25DFD"/>
    <w:rsid w:val="00B26049"/>
    <w:rsid w:val="00B26061"/>
    <w:rsid w:val="00B26065"/>
    <w:rsid w:val="00B26781"/>
    <w:rsid w:val="00B26CBF"/>
    <w:rsid w:val="00B26EBA"/>
    <w:rsid w:val="00B26F0A"/>
    <w:rsid w:val="00B27AF9"/>
    <w:rsid w:val="00B27E49"/>
    <w:rsid w:val="00B30025"/>
    <w:rsid w:val="00B307BE"/>
    <w:rsid w:val="00B30C67"/>
    <w:rsid w:val="00B30E88"/>
    <w:rsid w:val="00B30ECB"/>
    <w:rsid w:val="00B311D5"/>
    <w:rsid w:val="00B31293"/>
    <w:rsid w:val="00B318DC"/>
    <w:rsid w:val="00B31B3B"/>
    <w:rsid w:val="00B31B41"/>
    <w:rsid w:val="00B32000"/>
    <w:rsid w:val="00B320A7"/>
    <w:rsid w:val="00B321AF"/>
    <w:rsid w:val="00B32262"/>
    <w:rsid w:val="00B32407"/>
    <w:rsid w:val="00B32A5B"/>
    <w:rsid w:val="00B33405"/>
    <w:rsid w:val="00B33FF3"/>
    <w:rsid w:val="00B33FFF"/>
    <w:rsid w:val="00B34637"/>
    <w:rsid w:val="00B35183"/>
    <w:rsid w:val="00B352A1"/>
    <w:rsid w:val="00B36176"/>
    <w:rsid w:val="00B365C2"/>
    <w:rsid w:val="00B36673"/>
    <w:rsid w:val="00B36857"/>
    <w:rsid w:val="00B370D6"/>
    <w:rsid w:val="00B374D6"/>
    <w:rsid w:val="00B3783A"/>
    <w:rsid w:val="00B37911"/>
    <w:rsid w:val="00B401D5"/>
    <w:rsid w:val="00B405C5"/>
    <w:rsid w:val="00B4086A"/>
    <w:rsid w:val="00B40BE0"/>
    <w:rsid w:val="00B40CB5"/>
    <w:rsid w:val="00B40E83"/>
    <w:rsid w:val="00B40FDD"/>
    <w:rsid w:val="00B4187D"/>
    <w:rsid w:val="00B42708"/>
    <w:rsid w:val="00B427FD"/>
    <w:rsid w:val="00B428C6"/>
    <w:rsid w:val="00B42C15"/>
    <w:rsid w:val="00B42C4A"/>
    <w:rsid w:val="00B42CD3"/>
    <w:rsid w:val="00B4361F"/>
    <w:rsid w:val="00B44F6B"/>
    <w:rsid w:val="00B4553D"/>
    <w:rsid w:val="00B46184"/>
    <w:rsid w:val="00B46700"/>
    <w:rsid w:val="00B468CB"/>
    <w:rsid w:val="00B46E3F"/>
    <w:rsid w:val="00B473B7"/>
    <w:rsid w:val="00B4740F"/>
    <w:rsid w:val="00B47708"/>
    <w:rsid w:val="00B47803"/>
    <w:rsid w:val="00B47AD4"/>
    <w:rsid w:val="00B500D6"/>
    <w:rsid w:val="00B5028B"/>
    <w:rsid w:val="00B503FB"/>
    <w:rsid w:val="00B5066C"/>
    <w:rsid w:val="00B50968"/>
    <w:rsid w:val="00B50D9C"/>
    <w:rsid w:val="00B50E0F"/>
    <w:rsid w:val="00B50FDE"/>
    <w:rsid w:val="00B51C30"/>
    <w:rsid w:val="00B5228B"/>
    <w:rsid w:val="00B5294B"/>
    <w:rsid w:val="00B53699"/>
    <w:rsid w:val="00B538DE"/>
    <w:rsid w:val="00B5394B"/>
    <w:rsid w:val="00B53B78"/>
    <w:rsid w:val="00B53C44"/>
    <w:rsid w:val="00B5411E"/>
    <w:rsid w:val="00B54273"/>
    <w:rsid w:val="00B54505"/>
    <w:rsid w:val="00B54553"/>
    <w:rsid w:val="00B546B5"/>
    <w:rsid w:val="00B547C5"/>
    <w:rsid w:val="00B54E6F"/>
    <w:rsid w:val="00B55F5C"/>
    <w:rsid w:val="00B565AD"/>
    <w:rsid w:val="00B57181"/>
    <w:rsid w:val="00B573C5"/>
    <w:rsid w:val="00B57E5D"/>
    <w:rsid w:val="00B6064D"/>
    <w:rsid w:val="00B60860"/>
    <w:rsid w:val="00B60D6C"/>
    <w:rsid w:val="00B613C9"/>
    <w:rsid w:val="00B61BC7"/>
    <w:rsid w:val="00B63197"/>
    <w:rsid w:val="00B635E9"/>
    <w:rsid w:val="00B63BB9"/>
    <w:rsid w:val="00B646D9"/>
    <w:rsid w:val="00B649DA"/>
    <w:rsid w:val="00B64D21"/>
    <w:rsid w:val="00B64EAA"/>
    <w:rsid w:val="00B64EE3"/>
    <w:rsid w:val="00B65261"/>
    <w:rsid w:val="00B6562E"/>
    <w:rsid w:val="00B656F3"/>
    <w:rsid w:val="00B657FD"/>
    <w:rsid w:val="00B66173"/>
    <w:rsid w:val="00B663A9"/>
    <w:rsid w:val="00B664C3"/>
    <w:rsid w:val="00B6653F"/>
    <w:rsid w:val="00B6655D"/>
    <w:rsid w:val="00B666FE"/>
    <w:rsid w:val="00B66F54"/>
    <w:rsid w:val="00B67617"/>
    <w:rsid w:val="00B67904"/>
    <w:rsid w:val="00B67BA5"/>
    <w:rsid w:val="00B7052F"/>
    <w:rsid w:val="00B705BE"/>
    <w:rsid w:val="00B7093C"/>
    <w:rsid w:val="00B70994"/>
    <w:rsid w:val="00B70E35"/>
    <w:rsid w:val="00B716AE"/>
    <w:rsid w:val="00B718BA"/>
    <w:rsid w:val="00B71B29"/>
    <w:rsid w:val="00B721B0"/>
    <w:rsid w:val="00B72373"/>
    <w:rsid w:val="00B725A9"/>
    <w:rsid w:val="00B728B6"/>
    <w:rsid w:val="00B72D7D"/>
    <w:rsid w:val="00B732B0"/>
    <w:rsid w:val="00B7381A"/>
    <w:rsid w:val="00B747D1"/>
    <w:rsid w:val="00B7486D"/>
    <w:rsid w:val="00B74878"/>
    <w:rsid w:val="00B749DA"/>
    <w:rsid w:val="00B74DC6"/>
    <w:rsid w:val="00B751F0"/>
    <w:rsid w:val="00B75491"/>
    <w:rsid w:val="00B7621D"/>
    <w:rsid w:val="00B7621F"/>
    <w:rsid w:val="00B768ED"/>
    <w:rsid w:val="00B76F99"/>
    <w:rsid w:val="00B76FB3"/>
    <w:rsid w:val="00B77BD0"/>
    <w:rsid w:val="00B77EA7"/>
    <w:rsid w:val="00B80379"/>
    <w:rsid w:val="00B807C2"/>
    <w:rsid w:val="00B8156A"/>
    <w:rsid w:val="00B815C1"/>
    <w:rsid w:val="00B81607"/>
    <w:rsid w:val="00B81BF1"/>
    <w:rsid w:val="00B81D05"/>
    <w:rsid w:val="00B82548"/>
    <w:rsid w:val="00B82C45"/>
    <w:rsid w:val="00B82EE6"/>
    <w:rsid w:val="00B82FA7"/>
    <w:rsid w:val="00B8345A"/>
    <w:rsid w:val="00B845A5"/>
    <w:rsid w:val="00B845BD"/>
    <w:rsid w:val="00B84DE3"/>
    <w:rsid w:val="00B84F3B"/>
    <w:rsid w:val="00B854EE"/>
    <w:rsid w:val="00B86329"/>
    <w:rsid w:val="00B8715B"/>
    <w:rsid w:val="00B87295"/>
    <w:rsid w:val="00B872C9"/>
    <w:rsid w:val="00B873C6"/>
    <w:rsid w:val="00B8761E"/>
    <w:rsid w:val="00B87B42"/>
    <w:rsid w:val="00B87B85"/>
    <w:rsid w:val="00B87D39"/>
    <w:rsid w:val="00B90496"/>
    <w:rsid w:val="00B90649"/>
    <w:rsid w:val="00B909BC"/>
    <w:rsid w:val="00B90AB6"/>
    <w:rsid w:val="00B910B3"/>
    <w:rsid w:val="00B912FF"/>
    <w:rsid w:val="00B91840"/>
    <w:rsid w:val="00B91EC6"/>
    <w:rsid w:val="00B91F67"/>
    <w:rsid w:val="00B92F1E"/>
    <w:rsid w:val="00B935D6"/>
    <w:rsid w:val="00B938DA"/>
    <w:rsid w:val="00B93BC9"/>
    <w:rsid w:val="00B93CBA"/>
    <w:rsid w:val="00B93FFF"/>
    <w:rsid w:val="00B94095"/>
    <w:rsid w:val="00B946AF"/>
    <w:rsid w:val="00B94814"/>
    <w:rsid w:val="00B94D56"/>
    <w:rsid w:val="00B957BE"/>
    <w:rsid w:val="00B95E1D"/>
    <w:rsid w:val="00B95FD0"/>
    <w:rsid w:val="00B9604B"/>
    <w:rsid w:val="00B963AB"/>
    <w:rsid w:val="00B9676C"/>
    <w:rsid w:val="00B96AA4"/>
    <w:rsid w:val="00B97178"/>
    <w:rsid w:val="00B97ACE"/>
    <w:rsid w:val="00B97CDB"/>
    <w:rsid w:val="00BA0BD6"/>
    <w:rsid w:val="00BA17B2"/>
    <w:rsid w:val="00BA19C4"/>
    <w:rsid w:val="00BA24A5"/>
    <w:rsid w:val="00BA24DC"/>
    <w:rsid w:val="00BA268F"/>
    <w:rsid w:val="00BA2B8D"/>
    <w:rsid w:val="00BA2E5D"/>
    <w:rsid w:val="00BA34E4"/>
    <w:rsid w:val="00BA389B"/>
    <w:rsid w:val="00BA43A3"/>
    <w:rsid w:val="00BA4825"/>
    <w:rsid w:val="00BA4B91"/>
    <w:rsid w:val="00BA4BC8"/>
    <w:rsid w:val="00BA506E"/>
    <w:rsid w:val="00BA51DE"/>
    <w:rsid w:val="00BA51E6"/>
    <w:rsid w:val="00BA52D4"/>
    <w:rsid w:val="00BA5404"/>
    <w:rsid w:val="00BA5494"/>
    <w:rsid w:val="00BA54C9"/>
    <w:rsid w:val="00BA69EB"/>
    <w:rsid w:val="00BA70DB"/>
    <w:rsid w:val="00BA725B"/>
    <w:rsid w:val="00BA7396"/>
    <w:rsid w:val="00BA78F6"/>
    <w:rsid w:val="00BA7F22"/>
    <w:rsid w:val="00BB0C99"/>
    <w:rsid w:val="00BB0D61"/>
    <w:rsid w:val="00BB0FAB"/>
    <w:rsid w:val="00BB1750"/>
    <w:rsid w:val="00BB1F5D"/>
    <w:rsid w:val="00BB3359"/>
    <w:rsid w:val="00BB3DBD"/>
    <w:rsid w:val="00BB3FF6"/>
    <w:rsid w:val="00BB4123"/>
    <w:rsid w:val="00BB4180"/>
    <w:rsid w:val="00BB49C2"/>
    <w:rsid w:val="00BB4DBB"/>
    <w:rsid w:val="00BB4E57"/>
    <w:rsid w:val="00BB530A"/>
    <w:rsid w:val="00BB5391"/>
    <w:rsid w:val="00BB55E9"/>
    <w:rsid w:val="00BB5C2F"/>
    <w:rsid w:val="00BB5DE5"/>
    <w:rsid w:val="00BB5F91"/>
    <w:rsid w:val="00BB67FC"/>
    <w:rsid w:val="00BB6F0B"/>
    <w:rsid w:val="00BB7205"/>
    <w:rsid w:val="00BB7A28"/>
    <w:rsid w:val="00BB7D14"/>
    <w:rsid w:val="00BC0419"/>
    <w:rsid w:val="00BC17C3"/>
    <w:rsid w:val="00BC17E2"/>
    <w:rsid w:val="00BC19DE"/>
    <w:rsid w:val="00BC1D9A"/>
    <w:rsid w:val="00BC1F7B"/>
    <w:rsid w:val="00BC23FB"/>
    <w:rsid w:val="00BC2993"/>
    <w:rsid w:val="00BC2C2C"/>
    <w:rsid w:val="00BC2D00"/>
    <w:rsid w:val="00BC366B"/>
    <w:rsid w:val="00BC3D76"/>
    <w:rsid w:val="00BC4442"/>
    <w:rsid w:val="00BC46AE"/>
    <w:rsid w:val="00BC64D7"/>
    <w:rsid w:val="00BC68D1"/>
    <w:rsid w:val="00BC6DDB"/>
    <w:rsid w:val="00BC77E3"/>
    <w:rsid w:val="00BC78DC"/>
    <w:rsid w:val="00BD0412"/>
    <w:rsid w:val="00BD050D"/>
    <w:rsid w:val="00BD0A05"/>
    <w:rsid w:val="00BD0B06"/>
    <w:rsid w:val="00BD0C7D"/>
    <w:rsid w:val="00BD10FA"/>
    <w:rsid w:val="00BD18D7"/>
    <w:rsid w:val="00BD1CC2"/>
    <w:rsid w:val="00BD1DAB"/>
    <w:rsid w:val="00BD1F55"/>
    <w:rsid w:val="00BD2277"/>
    <w:rsid w:val="00BD22BF"/>
    <w:rsid w:val="00BD2371"/>
    <w:rsid w:val="00BD2A81"/>
    <w:rsid w:val="00BD2B41"/>
    <w:rsid w:val="00BD2FD2"/>
    <w:rsid w:val="00BD3219"/>
    <w:rsid w:val="00BD39B9"/>
    <w:rsid w:val="00BD3C0F"/>
    <w:rsid w:val="00BD4002"/>
    <w:rsid w:val="00BD4919"/>
    <w:rsid w:val="00BD4C55"/>
    <w:rsid w:val="00BD52CF"/>
    <w:rsid w:val="00BD5C8D"/>
    <w:rsid w:val="00BD5F56"/>
    <w:rsid w:val="00BD6958"/>
    <w:rsid w:val="00BD6DD6"/>
    <w:rsid w:val="00BE0BF3"/>
    <w:rsid w:val="00BE1332"/>
    <w:rsid w:val="00BE1530"/>
    <w:rsid w:val="00BE226A"/>
    <w:rsid w:val="00BE24C2"/>
    <w:rsid w:val="00BE2616"/>
    <w:rsid w:val="00BE271D"/>
    <w:rsid w:val="00BE353A"/>
    <w:rsid w:val="00BE38A7"/>
    <w:rsid w:val="00BE4397"/>
    <w:rsid w:val="00BE4661"/>
    <w:rsid w:val="00BE5027"/>
    <w:rsid w:val="00BE5243"/>
    <w:rsid w:val="00BE5483"/>
    <w:rsid w:val="00BE59C7"/>
    <w:rsid w:val="00BE6A5D"/>
    <w:rsid w:val="00BE6D48"/>
    <w:rsid w:val="00BE76C9"/>
    <w:rsid w:val="00BE771B"/>
    <w:rsid w:val="00BE794D"/>
    <w:rsid w:val="00BE7C4C"/>
    <w:rsid w:val="00BE7D62"/>
    <w:rsid w:val="00BF00A2"/>
    <w:rsid w:val="00BF0723"/>
    <w:rsid w:val="00BF0DCC"/>
    <w:rsid w:val="00BF109D"/>
    <w:rsid w:val="00BF1298"/>
    <w:rsid w:val="00BF243E"/>
    <w:rsid w:val="00BF2855"/>
    <w:rsid w:val="00BF287D"/>
    <w:rsid w:val="00BF3053"/>
    <w:rsid w:val="00BF34B7"/>
    <w:rsid w:val="00BF35A9"/>
    <w:rsid w:val="00BF3D86"/>
    <w:rsid w:val="00BF46D9"/>
    <w:rsid w:val="00BF610A"/>
    <w:rsid w:val="00BF696A"/>
    <w:rsid w:val="00BF7026"/>
    <w:rsid w:val="00BF711C"/>
    <w:rsid w:val="00BF75BE"/>
    <w:rsid w:val="00BF76B9"/>
    <w:rsid w:val="00BF7744"/>
    <w:rsid w:val="00BF7B3A"/>
    <w:rsid w:val="00BF7E4B"/>
    <w:rsid w:val="00BF7EC5"/>
    <w:rsid w:val="00C0013C"/>
    <w:rsid w:val="00C005C0"/>
    <w:rsid w:val="00C00BC8"/>
    <w:rsid w:val="00C00C5E"/>
    <w:rsid w:val="00C00CA0"/>
    <w:rsid w:val="00C00F05"/>
    <w:rsid w:val="00C00F4D"/>
    <w:rsid w:val="00C01191"/>
    <w:rsid w:val="00C01A2A"/>
    <w:rsid w:val="00C01AF2"/>
    <w:rsid w:val="00C021C9"/>
    <w:rsid w:val="00C0276F"/>
    <w:rsid w:val="00C02F4A"/>
    <w:rsid w:val="00C0358B"/>
    <w:rsid w:val="00C03B81"/>
    <w:rsid w:val="00C03BCA"/>
    <w:rsid w:val="00C03D44"/>
    <w:rsid w:val="00C042A3"/>
    <w:rsid w:val="00C04ADA"/>
    <w:rsid w:val="00C0517F"/>
    <w:rsid w:val="00C05A54"/>
    <w:rsid w:val="00C06048"/>
    <w:rsid w:val="00C06A98"/>
    <w:rsid w:val="00C06AAA"/>
    <w:rsid w:val="00C06DCA"/>
    <w:rsid w:val="00C072B5"/>
    <w:rsid w:val="00C07731"/>
    <w:rsid w:val="00C07E4B"/>
    <w:rsid w:val="00C07EBA"/>
    <w:rsid w:val="00C10411"/>
    <w:rsid w:val="00C11458"/>
    <w:rsid w:val="00C118F2"/>
    <w:rsid w:val="00C11AEE"/>
    <w:rsid w:val="00C12651"/>
    <w:rsid w:val="00C127D8"/>
    <w:rsid w:val="00C12B04"/>
    <w:rsid w:val="00C13B4A"/>
    <w:rsid w:val="00C140E1"/>
    <w:rsid w:val="00C14C96"/>
    <w:rsid w:val="00C14D39"/>
    <w:rsid w:val="00C150ED"/>
    <w:rsid w:val="00C1595B"/>
    <w:rsid w:val="00C15C2D"/>
    <w:rsid w:val="00C161FE"/>
    <w:rsid w:val="00C1688B"/>
    <w:rsid w:val="00C16AFF"/>
    <w:rsid w:val="00C16C86"/>
    <w:rsid w:val="00C170B1"/>
    <w:rsid w:val="00C1720E"/>
    <w:rsid w:val="00C174AE"/>
    <w:rsid w:val="00C17971"/>
    <w:rsid w:val="00C17B65"/>
    <w:rsid w:val="00C17D51"/>
    <w:rsid w:val="00C203A3"/>
    <w:rsid w:val="00C20E7E"/>
    <w:rsid w:val="00C2123F"/>
    <w:rsid w:val="00C212C2"/>
    <w:rsid w:val="00C214F2"/>
    <w:rsid w:val="00C2201E"/>
    <w:rsid w:val="00C2220A"/>
    <w:rsid w:val="00C22DFF"/>
    <w:rsid w:val="00C2308A"/>
    <w:rsid w:val="00C2310F"/>
    <w:rsid w:val="00C23BB1"/>
    <w:rsid w:val="00C23C66"/>
    <w:rsid w:val="00C2444D"/>
    <w:rsid w:val="00C244B1"/>
    <w:rsid w:val="00C24545"/>
    <w:rsid w:val="00C2486C"/>
    <w:rsid w:val="00C24A13"/>
    <w:rsid w:val="00C25767"/>
    <w:rsid w:val="00C2594F"/>
    <w:rsid w:val="00C25A9F"/>
    <w:rsid w:val="00C25D33"/>
    <w:rsid w:val="00C25DE0"/>
    <w:rsid w:val="00C25F72"/>
    <w:rsid w:val="00C26456"/>
    <w:rsid w:val="00C26857"/>
    <w:rsid w:val="00C2693A"/>
    <w:rsid w:val="00C26AA6"/>
    <w:rsid w:val="00C26B05"/>
    <w:rsid w:val="00C27A39"/>
    <w:rsid w:val="00C27FD0"/>
    <w:rsid w:val="00C300FF"/>
    <w:rsid w:val="00C313CD"/>
    <w:rsid w:val="00C31AB6"/>
    <w:rsid w:val="00C32168"/>
    <w:rsid w:val="00C323BB"/>
    <w:rsid w:val="00C327E0"/>
    <w:rsid w:val="00C32994"/>
    <w:rsid w:val="00C33088"/>
    <w:rsid w:val="00C335E4"/>
    <w:rsid w:val="00C336EA"/>
    <w:rsid w:val="00C33B8F"/>
    <w:rsid w:val="00C34211"/>
    <w:rsid w:val="00C3428C"/>
    <w:rsid w:val="00C34463"/>
    <w:rsid w:val="00C34D35"/>
    <w:rsid w:val="00C35302"/>
    <w:rsid w:val="00C353FA"/>
    <w:rsid w:val="00C3547D"/>
    <w:rsid w:val="00C355DE"/>
    <w:rsid w:val="00C3589B"/>
    <w:rsid w:val="00C35D7A"/>
    <w:rsid w:val="00C35DB8"/>
    <w:rsid w:val="00C364A7"/>
    <w:rsid w:val="00C367AC"/>
    <w:rsid w:val="00C36EF4"/>
    <w:rsid w:val="00C37A8E"/>
    <w:rsid w:val="00C4030B"/>
    <w:rsid w:val="00C40603"/>
    <w:rsid w:val="00C40E03"/>
    <w:rsid w:val="00C40F64"/>
    <w:rsid w:val="00C412D7"/>
    <w:rsid w:val="00C41C07"/>
    <w:rsid w:val="00C428F3"/>
    <w:rsid w:val="00C43238"/>
    <w:rsid w:val="00C43319"/>
    <w:rsid w:val="00C43558"/>
    <w:rsid w:val="00C4366A"/>
    <w:rsid w:val="00C44A0A"/>
    <w:rsid w:val="00C44CFF"/>
    <w:rsid w:val="00C45026"/>
    <w:rsid w:val="00C454B9"/>
    <w:rsid w:val="00C45B27"/>
    <w:rsid w:val="00C45C58"/>
    <w:rsid w:val="00C46672"/>
    <w:rsid w:val="00C46D07"/>
    <w:rsid w:val="00C46FFB"/>
    <w:rsid w:val="00C4708F"/>
    <w:rsid w:val="00C470BE"/>
    <w:rsid w:val="00C4787C"/>
    <w:rsid w:val="00C47AE5"/>
    <w:rsid w:val="00C47BC4"/>
    <w:rsid w:val="00C52617"/>
    <w:rsid w:val="00C53A72"/>
    <w:rsid w:val="00C53EC7"/>
    <w:rsid w:val="00C53FB7"/>
    <w:rsid w:val="00C5424F"/>
    <w:rsid w:val="00C5459B"/>
    <w:rsid w:val="00C54611"/>
    <w:rsid w:val="00C54985"/>
    <w:rsid w:val="00C559A3"/>
    <w:rsid w:val="00C562AC"/>
    <w:rsid w:val="00C56464"/>
    <w:rsid w:val="00C56619"/>
    <w:rsid w:val="00C56B70"/>
    <w:rsid w:val="00C57230"/>
    <w:rsid w:val="00C604DC"/>
    <w:rsid w:val="00C60B71"/>
    <w:rsid w:val="00C60EA2"/>
    <w:rsid w:val="00C6106B"/>
    <w:rsid w:val="00C62017"/>
    <w:rsid w:val="00C6295B"/>
    <w:rsid w:val="00C62D23"/>
    <w:rsid w:val="00C62F5D"/>
    <w:rsid w:val="00C62FDA"/>
    <w:rsid w:val="00C63EC9"/>
    <w:rsid w:val="00C6427A"/>
    <w:rsid w:val="00C6474D"/>
    <w:rsid w:val="00C65526"/>
    <w:rsid w:val="00C655A4"/>
    <w:rsid w:val="00C655BE"/>
    <w:rsid w:val="00C65642"/>
    <w:rsid w:val="00C65A89"/>
    <w:rsid w:val="00C65D29"/>
    <w:rsid w:val="00C6611D"/>
    <w:rsid w:val="00C66245"/>
    <w:rsid w:val="00C6624F"/>
    <w:rsid w:val="00C66407"/>
    <w:rsid w:val="00C6717A"/>
    <w:rsid w:val="00C677DB"/>
    <w:rsid w:val="00C67827"/>
    <w:rsid w:val="00C67FF2"/>
    <w:rsid w:val="00C711E8"/>
    <w:rsid w:val="00C71AB5"/>
    <w:rsid w:val="00C71AC6"/>
    <w:rsid w:val="00C72628"/>
    <w:rsid w:val="00C734F8"/>
    <w:rsid w:val="00C73AC3"/>
    <w:rsid w:val="00C7435F"/>
    <w:rsid w:val="00C74447"/>
    <w:rsid w:val="00C744DB"/>
    <w:rsid w:val="00C74602"/>
    <w:rsid w:val="00C7485A"/>
    <w:rsid w:val="00C74972"/>
    <w:rsid w:val="00C75453"/>
    <w:rsid w:val="00C75E8C"/>
    <w:rsid w:val="00C76E77"/>
    <w:rsid w:val="00C77B45"/>
    <w:rsid w:val="00C80A18"/>
    <w:rsid w:val="00C80E4B"/>
    <w:rsid w:val="00C80EB5"/>
    <w:rsid w:val="00C80EFF"/>
    <w:rsid w:val="00C814B0"/>
    <w:rsid w:val="00C81662"/>
    <w:rsid w:val="00C81D85"/>
    <w:rsid w:val="00C81FFC"/>
    <w:rsid w:val="00C823A5"/>
    <w:rsid w:val="00C82CF7"/>
    <w:rsid w:val="00C8318F"/>
    <w:rsid w:val="00C839BD"/>
    <w:rsid w:val="00C83D98"/>
    <w:rsid w:val="00C83FCD"/>
    <w:rsid w:val="00C84368"/>
    <w:rsid w:val="00C84C35"/>
    <w:rsid w:val="00C85275"/>
    <w:rsid w:val="00C8554B"/>
    <w:rsid w:val="00C85865"/>
    <w:rsid w:val="00C8603C"/>
    <w:rsid w:val="00C865E3"/>
    <w:rsid w:val="00C86754"/>
    <w:rsid w:val="00C86AFF"/>
    <w:rsid w:val="00C86C5D"/>
    <w:rsid w:val="00C87331"/>
    <w:rsid w:val="00C87753"/>
    <w:rsid w:val="00C90241"/>
    <w:rsid w:val="00C90F00"/>
    <w:rsid w:val="00C917F3"/>
    <w:rsid w:val="00C91A56"/>
    <w:rsid w:val="00C91D59"/>
    <w:rsid w:val="00C929CE"/>
    <w:rsid w:val="00C92B35"/>
    <w:rsid w:val="00C92DE7"/>
    <w:rsid w:val="00C930A5"/>
    <w:rsid w:val="00C9350E"/>
    <w:rsid w:val="00C9372F"/>
    <w:rsid w:val="00C94C3F"/>
    <w:rsid w:val="00C95294"/>
    <w:rsid w:val="00C953FE"/>
    <w:rsid w:val="00C95E0B"/>
    <w:rsid w:val="00C9616D"/>
    <w:rsid w:val="00C9618A"/>
    <w:rsid w:val="00C961BC"/>
    <w:rsid w:val="00C96863"/>
    <w:rsid w:val="00C9706F"/>
    <w:rsid w:val="00C970B3"/>
    <w:rsid w:val="00C9721A"/>
    <w:rsid w:val="00C976A2"/>
    <w:rsid w:val="00C97944"/>
    <w:rsid w:val="00C97A94"/>
    <w:rsid w:val="00C97CCA"/>
    <w:rsid w:val="00CA036B"/>
    <w:rsid w:val="00CA0E0B"/>
    <w:rsid w:val="00CA115D"/>
    <w:rsid w:val="00CA1A26"/>
    <w:rsid w:val="00CA1AAE"/>
    <w:rsid w:val="00CA1F25"/>
    <w:rsid w:val="00CA2111"/>
    <w:rsid w:val="00CA2289"/>
    <w:rsid w:val="00CA2822"/>
    <w:rsid w:val="00CA29CA"/>
    <w:rsid w:val="00CA2F5B"/>
    <w:rsid w:val="00CA315E"/>
    <w:rsid w:val="00CA36EB"/>
    <w:rsid w:val="00CA3DD6"/>
    <w:rsid w:val="00CA5199"/>
    <w:rsid w:val="00CA52BB"/>
    <w:rsid w:val="00CA54AA"/>
    <w:rsid w:val="00CA5A58"/>
    <w:rsid w:val="00CA5CBA"/>
    <w:rsid w:val="00CA654C"/>
    <w:rsid w:val="00CA6591"/>
    <w:rsid w:val="00CA665C"/>
    <w:rsid w:val="00CA6F0F"/>
    <w:rsid w:val="00CA7070"/>
    <w:rsid w:val="00CA7153"/>
    <w:rsid w:val="00CA7843"/>
    <w:rsid w:val="00CA7965"/>
    <w:rsid w:val="00CB06A2"/>
    <w:rsid w:val="00CB099E"/>
    <w:rsid w:val="00CB0CDB"/>
    <w:rsid w:val="00CB1005"/>
    <w:rsid w:val="00CB1088"/>
    <w:rsid w:val="00CB181F"/>
    <w:rsid w:val="00CB1CE2"/>
    <w:rsid w:val="00CB21E0"/>
    <w:rsid w:val="00CB2BAB"/>
    <w:rsid w:val="00CB375B"/>
    <w:rsid w:val="00CB397B"/>
    <w:rsid w:val="00CB39C0"/>
    <w:rsid w:val="00CB3C89"/>
    <w:rsid w:val="00CB410B"/>
    <w:rsid w:val="00CB4446"/>
    <w:rsid w:val="00CB4B1A"/>
    <w:rsid w:val="00CB4BF0"/>
    <w:rsid w:val="00CB4DD9"/>
    <w:rsid w:val="00CB5FCC"/>
    <w:rsid w:val="00CB612F"/>
    <w:rsid w:val="00CB675E"/>
    <w:rsid w:val="00CB68B8"/>
    <w:rsid w:val="00CB6975"/>
    <w:rsid w:val="00CB69E0"/>
    <w:rsid w:val="00CB7252"/>
    <w:rsid w:val="00CC00D1"/>
    <w:rsid w:val="00CC0808"/>
    <w:rsid w:val="00CC0BCB"/>
    <w:rsid w:val="00CC27DA"/>
    <w:rsid w:val="00CC2AD2"/>
    <w:rsid w:val="00CC319E"/>
    <w:rsid w:val="00CC31F9"/>
    <w:rsid w:val="00CC326D"/>
    <w:rsid w:val="00CC38F8"/>
    <w:rsid w:val="00CC3AF7"/>
    <w:rsid w:val="00CC3BDA"/>
    <w:rsid w:val="00CC443C"/>
    <w:rsid w:val="00CC4934"/>
    <w:rsid w:val="00CC4B22"/>
    <w:rsid w:val="00CC52E2"/>
    <w:rsid w:val="00CC5797"/>
    <w:rsid w:val="00CC5B67"/>
    <w:rsid w:val="00CC5E9A"/>
    <w:rsid w:val="00CC604D"/>
    <w:rsid w:val="00CC6547"/>
    <w:rsid w:val="00CC6A74"/>
    <w:rsid w:val="00CC6D32"/>
    <w:rsid w:val="00CC7076"/>
    <w:rsid w:val="00CC74EC"/>
    <w:rsid w:val="00CC7EA7"/>
    <w:rsid w:val="00CD03C0"/>
    <w:rsid w:val="00CD0913"/>
    <w:rsid w:val="00CD0D8E"/>
    <w:rsid w:val="00CD0FE7"/>
    <w:rsid w:val="00CD13F3"/>
    <w:rsid w:val="00CD33CD"/>
    <w:rsid w:val="00CD3426"/>
    <w:rsid w:val="00CD393D"/>
    <w:rsid w:val="00CD3D76"/>
    <w:rsid w:val="00CD48E1"/>
    <w:rsid w:val="00CD54FF"/>
    <w:rsid w:val="00CD5BB7"/>
    <w:rsid w:val="00CD62C4"/>
    <w:rsid w:val="00CD6805"/>
    <w:rsid w:val="00CD6A46"/>
    <w:rsid w:val="00CD7539"/>
    <w:rsid w:val="00CD7A2F"/>
    <w:rsid w:val="00CD7F70"/>
    <w:rsid w:val="00CE012D"/>
    <w:rsid w:val="00CE0EDE"/>
    <w:rsid w:val="00CE12D6"/>
    <w:rsid w:val="00CE148D"/>
    <w:rsid w:val="00CE1CE7"/>
    <w:rsid w:val="00CE21BF"/>
    <w:rsid w:val="00CE25E6"/>
    <w:rsid w:val="00CE267F"/>
    <w:rsid w:val="00CE2A21"/>
    <w:rsid w:val="00CE2B50"/>
    <w:rsid w:val="00CE3453"/>
    <w:rsid w:val="00CE3A65"/>
    <w:rsid w:val="00CE6DA8"/>
    <w:rsid w:val="00CE719A"/>
    <w:rsid w:val="00CE7358"/>
    <w:rsid w:val="00CE75B9"/>
    <w:rsid w:val="00CF04B1"/>
    <w:rsid w:val="00CF04B2"/>
    <w:rsid w:val="00CF0592"/>
    <w:rsid w:val="00CF07CF"/>
    <w:rsid w:val="00CF178E"/>
    <w:rsid w:val="00CF1940"/>
    <w:rsid w:val="00CF1957"/>
    <w:rsid w:val="00CF1DEC"/>
    <w:rsid w:val="00CF218D"/>
    <w:rsid w:val="00CF224D"/>
    <w:rsid w:val="00CF235A"/>
    <w:rsid w:val="00CF37FB"/>
    <w:rsid w:val="00CF3C2E"/>
    <w:rsid w:val="00CF3D88"/>
    <w:rsid w:val="00CF493E"/>
    <w:rsid w:val="00CF520A"/>
    <w:rsid w:val="00CF5595"/>
    <w:rsid w:val="00CF5CE6"/>
    <w:rsid w:val="00CF5E05"/>
    <w:rsid w:val="00CF6AA1"/>
    <w:rsid w:val="00CF6CC3"/>
    <w:rsid w:val="00CF73B6"/>
    <w:rsid w:val="00CF73E9"/>
    <w:rsid w:val="00CF75B9"/>
    <w:rsid w:val="00CF7AF9"/>
    <w:rsid w:val="00D00AD9"/>
    <w:rsid w:val="00D00BFC"/>
    <w:rsid w:val="00D00D12"/>
    <w:rsid w:val="00D00E11"/>
    <w:rsid w:val="00D00E8D"/>
    <w:rsid w:val="00D01737"/>
    <w:rsid w:val="00D0190F"/>
    <w:rsid w:val="00D01E53"/>
    <w:rsid w:val="00D02A2B"/>
    <w:rsid w:val="00D02AB1"/>
    <w:rsid w:val="00D0305A"/>
    <w:rsid w:val="00D03129"/>
    <w:rsid w:val="00D031AC"/>
    <w:rsid w:val="00D03287"/>
    <w:rsid w:val="00D034BE"/>
    <w:rsid w:val="00D03984"/>
    <w:rsid w:val="00D0421A"/>
    <w:rsid w:val="00D04AD4"/>
    <w:rsid w:val="00D04FB5"/>
    <w:rsid w:val="00D05B7E"/>
    <w:rsid w:val="00D05BF9"/>
    <w:rsid w:val="00D06690"/>
    <w:rsid w:val="00D06BE3"/>
    <w:rsid w:val="00D0705E"/>
    <w:rsid w:val="00D07144"/>
    <w:rsid w:val="00D07722"/>
    <w:rsid w:val="00D07AD1"/>
    <w:rsid w:val="00D07D70"/>
    <w:rsid w:val="00D1040E"/>
    <w:rsid w:val="00D1074A"/>
    <w:rsid w:val="00D10A63"/>
    <w:rsid w:val="00D10F6A"/>
    <w:rsid w:val="00D11B48"/>
    <w:rsid w:val="00D120A5"/>
    <w:rsid w:val="00D12244"/>
    <w:rsid w:val="00D123AC"/>
    <w:rsid w:val="00D128A3"/>
    <w:rsid w:val="00D12A57"/>
    <w:rsid w:val="00D13A48"/>
    <w:rsid w:val="00D13AA8"/>
    <w:rsid w:val="00D14C35"/>
    <w:rsid w:val="00D14C78"/>
    <w:rsid w:val="00D14DD2"/>
    <w:rsid w:val="00D15492"/>
    <w:rsid w:val="00D157C9"/>
    <w:rsid w:val="00D15B7D"/>
    <w:rsid w:val="00D15EDC"/>
    <w:rsid w:val="00D1674C"/>
    <w:rsid w:val="00D169E1"/>
    <w:rsid w:val="00D16AE8"/>
    <w:rsid w:val="00D16B90"/>
    <w:rsid w:val="00D17474"/>
    <w:rsid w:val="00D1769F"/>
    <w:rsid w:val="00D17816"/>
    <w:rsid w:val="00D17D8C"/>
    <w:rsid w:val="00D17EBB"/>
    <w:rsid w:val="00D205A9"/>
    <w:rsid w:val="00D20D66"/>
    <w:rsid w:val="00D213E9"/>
    <w:rsid w:val="00D22117"/>
    <w:rsid w:val="00D22187"/>
    <w:rsid w:val="00D222F1"/>
    <w:rsid w:val="00D227AE"/>
    <w:rsid w:val="00D2349A"/>
    <w:rsid w:val="00D23A50"/>
    <w:rsid w:val="00D242DF"/>
    <w:rsid w:val="00D24452"/>
    <w:rsid w:val="00D246C5"/>
    <w:rsid w:val="00D2507A"/>
    <w:rsid w:val="00D25144"/>
    <w:rsid w:val="00D251AB"/>
    <w:rsid w:val="00D256C5"/>
    <w:rsid w:val="00D25D31"/>
    <w:rsid w:val="00D260FE"/>
    <w:rsid w:val="00D26163"/>
    <w:rsid w:val="00D2632C"/>
    <w:rsid w:val="00D26358"/>
    <w:rsid w:val="00D26825"/>
    <w:rsid w:val="00D26C7A"/>
    <w:rsid w:val="00D26F77"/>
    <w:rsid w:val="00D2707F"/>
    <w:rsid w:val="00D27241"/>
    <w:rsid w:val="00D272C5"/>
    <w:rsid w:val="00D30AC2"/>
    <w:rsid w:val="00D30AE2"/>
    <w:rsid w:val="00D30D44"/>
    <w:rsid w:val="00D30ECF"/>
    <w:rsid w:val="00D31034"/>
    <w:rsid w:val="00D310AB"/>
    <w:rsid w:val="00D3140F"/>
    <w:rsid w:val="00D31691"/>
    <w:rsid w:val="00D316A3"/>
    <w:rsid w:val="00D31B8E"/>
    <w:rsid w:val="00D324CA"/>
    <w:rsid w:val="00D32ADD"/>
    <w:rsid w:val="00D32E40"/>
    <w:rsid w:val="00D33051"/>
    <w:rsid w:val="00D33521"/>
    <w:rsid w:val="00D33563"/>
    <w:rsid w:val="00D335A6"/>
    <w:rsid w:val="00D33717"/>
    <w:rsid w:val="00D3384C"/>
    <w:rsid w:val="00D33B12"/>
    <w:rsid w:val="00D33D89"/>
    <w:rsid w:val="00D342AD"/>
    <w:rsid w:val="00D34A27"/>
    <w:rsid w:val="00D34B88"/>
    <w:rsid w:val="00D35277"/>
    <w:rsid w:val="00D354AB"/>
    <w:rsid w:val="00D35E55"/>
    <w:rsid w:val="00D35F51"/>
    <w:rsid w:val="00D36668"/>
    <w:rsid w:val="00D3687E"/>
    <w:rsid w:val="00D36A24"/>
    <w:rsid w:val="00D36C5A"/>
    <w:rsid w:val="00D372DB"/>
    <w:rsid w:val="00D373D9"/>
    <w:rsid w:val="00D3754B"/>
    <w:rsid w:val="00D37662"/>
    <w:rsid w:val="00D37E46"/>
    <w:rsid w:val="00D40064"/>
    <w:rsid w:val="00D40090"/>
    <w:rsid w:val="00D40222"/>
    <w:rsid w:val="00D40376"/>
    <w:rsid w:val="00D406DD"/>
    <w:rsid w:val="00D40EAD"/>
    <w:rsid w:val="00D41124"/>
    <w:rsid w:val="00D41292"/>
    <w:rsid w:val="00D426AC"/>
    <w:rsid w:val="00D42BBF"/>
    <w:rsid w:val="00D42FD0"/>
    <w:rsid w:val="00D43200"/>
    <w:rsid w:val="00D44371"/>
    <w:rsid w:val="00D44A6F"/>
    <w:rsid w:val="00D44BA2"/>
    <w:rsid w:val="00D44D90"/>
    <w:rsid w:val="00D45059"/>
    <w:rsid w:val="00D453FC"/>
    <w:rsid w:val="00D4587D"/>
    <w:rsid w:val="00D45E2A"/>
    <w:rsid w:val="00D45EDE"/>
    <w:rsid w:val="00D46EA3"/>
    <w:rsid w:val="00D471E6"/>
    <w:rsid w:val="00D47D37"/>
    <w:rsid w:val="00D47D84"/>
    <w:rsid w:val="00D47DC1"/>
    <w:rsid w:val="00D5096D"/>
    <w:rsid w:val="00D51173"/>
    <w:rsid w:val="00D51644"/>
    <w:rsid w:val="00D51726"/>
    <w:rsid w:val="00D51C15"/>
    <w:rsid w:val="00D521F2"/>
    <w:rsid w:val="00D5340E"/>
    <w:rsid w:val="00D53510"/>
    <w:rsid w:val="00D53BEC"/>
    <w:rsid w:val="00D54203"/>
    <w:rsid w:val="00D545F0"/>
    <w:rsid w:val="00D54A95"/>
    <w:rsid w:val="00D54A99"/>
    <w:rsid w:val="00D54B77"/>
    <w:rsid w:val="00D54C68"/>
    <w:rsid w:val="00D54D7B"/>
    <w:rsid w:val="00D54EEE"/>
    <w:rsid w:val="00D54F09"/>
    <w:rsid w:val="00D55085"/>
    <w:rsid w:val="00D550DD"/>
    <w:rsid w:val="00D5512D"/>
    <w:rsid w:val="00D5597B"/>
    <w:rsid w:val="00D56063"/>
    <w:rsid w:val="00D564F0"/>
    <w:rsid w:val="00D56E18"/>
    <w:rsid w:val="00D56F9D"/>
    <w:rsid w:val="00D57212"/>
    <w:rsid w:val="00D576C7"/>
    <w:rsid w:val="00D57B89"/>
    <w:rsid w:val="00D6001B"/>
    <w:rsid w:val="00D609F2"/>
    <w:rsid w:val="00D60AFA"/>
    <w:rsid w:val="00D613D5"/>
    <w:rsid w:val="00D63657"/>
    <w:rsid w:val="00D649CF"/>
    <w:rsid w:val="00D65017"/>
    <w:rsid w:val="00D65217"/>
    <w:rsid w:val="00D65B09"/>
    <w:rsid w:val="00D66210"/>
    <w:rsid w:val="00D666BC"/>
    <w:rsid w:val="00D668E4"/>
    <w:rsid w:val="00D672D5"/>
    <w:rsid w:val="00D67B0D"/>
    <w:rsid w:val="00D67CDC"/>
    <w:rsid w:val="00D67F98"/>
    <w:rsid w:val="00D706F2"/>
    <w:rsid w:val="00D71168"/>
    <w:rsid w:val="00D7171D"/>
    <w:rsid w:val="00D71E15"/>
    <w:rsid w:val="00D71E9E"/>
    <w:rsid w:val="00D72180"/>
    <w:rsid w:val="00D728D6"/>
    <w:rsid w:val="00D73441"/>
    <w:rsid w:val="00D73AC6"/>
    <w:rsid w:val="00D741B0"/>
    <w:rsid w:val="00D745BB"/>
    <w:rsid w:val="00D74B8F"/>
    <w:rsid w:val="00D7580F"/>
    <w:rsid w:val="00D75F2A"/>
    <w:rsid w:val="00D760D4"/>
    <w:rsid w:val="00D761FF"/>
    <w:rsid w:val="00D77372"/>
    <w:rsid w:val="00D77D5C"/>
    <w:rsid w:val="00D80223"/>
    <w:rsid w:val="00D802B4"/>
    <w:rsid w:val="00D80887"/>
    <w:rsid w:val="00D80E71"/>
    <w:rsid w:val="00D80EA0"/>
    <w:rsid w:val="00D81F62"/>
    <w:rsid w:val="00D82BBE"/>
    <w:rsid w:val="00D8314B"/>
    <w:rsid w:val="00D8364B"/>
    <w:rsid w:val="00D83661"/>
    <w:rsid w:val="00D83F92"/>
    <w:rsid w:val="00D846DF"/>
    <w:rsid w:val="00D852D1"/>
    <w:rsid w:val="00D85ABD"/>
    <w:rsid w:val="00D86269"/>
    <w:rsid w:val="00D8638E"/>
    <w:rsid w:val="00D86482"/>
    <w:rsid w:val="00D8666F"/>
    <w:rsid w:val="00D86BE7"/>
    <w:rsid w:val="00D87825"/>
    <w:rsid w:val="00D8791E"/>
    <w:rsid w:val="00D879F2"/>
    <w:rsid w:val="00D87E88"/>
    <w:rsid w:val="00D90C82"/>
    <w:rsid w:val="00D90DAB"/>
    <w:rsid w:val="00D9109C"/>
    <w:rsid w:val="00D915F9"/>
    <w:rsid w:val="00D91660"/>
    <w:rsid w:val="00D9208A"/>
    <w:rsid w:val="00D92577"/>
    <w:rsid w:val="00D92A35"/>
    <w:rsid w:val="00D92ADD"/>
    <w:rsid w:val="00D939AD"/>
    <w:rsid w:val="00D93B92"/>
    <w:rsid w:val="00D93CBE"/>
    <w:rsid w:val="00D93D7C"/>
    <w:rsid w:val="00D941B5"/>
    <w:rsid w:val="00D948D0"/>
    <w:rsid w:val="00D94B01"/>
    <w:rsid w:val="00D94F29"/>
    <w:rsid w:val="00D94FC8"/>
    <w:rsid w:val="00D9594B"/>
    <w:rsid w:val="00D9656A"/>
    <w:rsid w:val="00D96B32"/>
    <w:rsid w:val="00D97494"/>
    <w:rsid w:val="00DA0470"/>
    <w:rsid w:val="00DA072A"/>
    <w:rsid w:val="00DA0741"/>
    <w:rsid w:val="00DA0C4E"/>
    <w:rsid w:val="00DA1F45"/>
    <w:rsid w:val="00DA1FF5"/>
    <w:rsid w:val="00DA22B8"/>
    <w:rsid w:val="00DA27A2"/>
    <w:rsid w:val="00DA28F8"/>
    <w:rsid w:val="00DA2FF1"/>
    <w:rsid w:val="00DA460A"/>
    <w:rsid w:val="00DA538A"/>
    <w:rsid w:val="00DA6213"/>
    <w:rsid w:val="00DA6225"/>
    <w:rsid w:val="00DA68BB"/>
    <w:rsid w:val="00DA6C8B"/>
    <w:rsid w:val="00DA6C9D"/>
    <w:rsid w:val="00DA7585"/>
    <w:rsid w:val="00DA76FB"/>
    <w:rsid w:val="00DA7736"/>
    <w:rsid w:val="00DA7797"/>
    <w:rsid w:val="00DA77AC"/>
    <w:rsid w:val="00DB0800"/>
    <w:rsid w:val="00DB0A76"/>
    <w:rsid w:val="00DB1403"/>
    <w:rsid w:val="00DB1434"/>
    <w:rsid w:val="00DB18E9"/>
    <w:rsid w:val="00DB224C"/>
    <w:rsid w:val="00DB3666"/>
    <w:rsid w:val="00DB3C45"/>
    <w:rsid w:val="00DB440A"/>
    <w:rsid w:val="00DB4544"/>
    <w:rsid w:val="00DB497C"/>
    <w:rsid w:val="00DB4FB8"/>
    <w:rsid w:val="00DB5045"/>
    <w:rsid w:val="00DB56A3"/>
    <w:rsid w:val="00DB59EE"/>
    <w:rsid w:val="00DB5A4C"/>
    <w:rsid w:val="00DB5C2B"/>
    <w:rsid w:val="00DB6140"/>
    <w:rsid w:val="00DB6B0B"/>
    <w:rsid w:val="00DB6E65"/>
    <w:rsid w:val="00DB7496"/>
    <w:rsid w:val="00DB75EA"/>
    <w:rsid w:val="00DB7695"/>
    <w:rsid w:val="00DB78C5"/>
    <w:rsid w:val="00DB7E3A"/>
    <w:rsid w:val="00DC0607"/>
    <w:rsid w:val="00DC119C"/>
    <w:rsid w:val="00DC1DF2"/>
    <w:rsid w:val="00DC1FDC"/>
    <w:rsid w:val="00DC1FF2"/>
    <w:rsid w:val="00DC3183"/>
    <w:rsid w:val="00DC3216"/>
    <w:rsid w:val="00DC3235"/>
    <w:rsid w:val="00DC3CC5"/>
    <w:rsid w:val="00DC3E71"/>
    <w:rsid w:val="00DC4560"/>
    <w:rsid w:val="00DC4601"/>
    <w:rsid w:val="00DC48CE"/>
    <w:rsid w:val="00DC4B3C"/>
    <w:rsid w:val="00DC50A1"/>
    <w:rsid w:val="00DC50C3"/>
    <w:rsid w:val="00DC55CB"/>
    <w:rsid w:val="00DC57E5"/>
    <w:rsid w:val="00DC5A53"/>
    <w:rsid w:val="00DC5CDD"/>
    <w:rsid w:val="00DC63B2"/>
    <w:rsid w:val="00DC67FE"/>
    <w:rsid w:val="00DC6CE4"/>
    <w:rsid w:val="00DC713B"/>
    <w:rsid w:val="00DC7264"/>
    <w:rsid w:val="00DC73DF"/>
    <w:rsid w:val="00DC76FE"/>
    <w:rsid w:val="00DC7DA6"/>
    <w:rsid w:val="00DC7EAF"/>
    <w:rsid w:val="00DD03AF"/>
    <w:rsid w:val="00DD0613"/>
    <w:rsid w:val="00DD0869"/>
    <w:rsid w:val="00DD0E54"/>
    <w:rsid w:val="00DD0F8A"/>
    <w:rsid w:val="00DD15B7"/>
    <w:rsid w:val="00DD27AF"/>
    <w:rsid w:val="00DD32E1"/>
    <w:rsid w:val="00DD3CBA"/>
    <w:rsid w:val="00DD4160"/>
    <w:rsid w:val="00DD4385"/>
    <w:rsid w:val="00DD449A"/>
    <w:rsid w:val="00DD4647"/>
    <w:rsid w:val="00DD4A7A"/>
    <w:rsid w:val="00DD4BA8"/>
    <w:rsid w:val="00DD5409"/>
    <w:rsid w:val="00DD5A5A"/>
    <w:rsid w:val="00DD5CFA"/>
    <w:rsid w:val="00DD6103"/>
    <w:rsid w:val="00DD6B49"/>
    <w:rsid w:val="00DD6E69"/>
    <w:rsid w:val="00DD6F31"/>
    <w:rsid w:val="00DD7DC9"/>
    <w:rsid w:val="00DE09CA"/>
    <w:rsid w:val="00DE0CA1"/>
    <w:rsid w:val="00DE0F79"/>
    <w:rsid w:val="00DE1560"/>
    <w:rsid w:val="00DE1B21"/>
    <w:rsid w:val="00DE1E78"/>
    <w:rsid w:val="00DE208C"/>
    <w:rsid w:val="00DE2648"/>
    <w:rsid w:val="00DE2744"/>
    <w:rsid w:val="00DE2D07"/>
    <w:rsid w:val="00DE3302"/>
    <w:rsid w:val="00DE351E"/>
    <w:rsid w:val="00DE37C3"/>
    <w:rsid w:val="00DE3E8E"/>
    <w:rsid w:val="00DE3F01"/>
    <w:rsid w:val="00DE43A1"/>
    <w:rsid w:val="00DE461D"/>
    <w:rsid w:val="00DE478A"/>
    <w:rsid w:val="00DE4AE5"/>
    <w:rsid w:val="00DE5B2C"/>
    <w:rsid w:val="00DE6BBA"/>
    <w:rsid w:val="00DE6BEC"/>
    <w:rsid w:val="00DE729B"/>
    <w:rsid w:val="00DE746C"/>
    <w:rsid w:val="00DE7915"/>
    <w:rsid w:val="00DE7F32"/>
    <w:rsid w:val="00DF048F"/>
    <w:rsid w:val="00DF1419"/>
    <w:rsid w:val="00DF1626"/>
    <w:rsid w:val="00DF1C37"/>
    <w:rsid w:val="00DF216D"/>
    <w:rsid w:val="00DF23BD"/>
    <w:rsid w:val="00DF25CA"/>
    <w:rsid w:val="00DF26C1"/>
    <w:rsid w:val="00DF2AEC"/>
    <w:rsid w:val="00DF31C9"/>
    <w:rsid w:val="00DF345E"/>
    <w:rsid w:val="00DF41F3"/>
    <w:rsid w:val="00DF4888"/>
    <w:rsid w:val="00DF494E"/>
    <w:rsid w:val="00DF58B2"/>
    <w:rsid w:val="00DF6455"/>
    <w:rsid w:val="00DF6777"/>
    <w:rsid w:val="00DF6CAB"/>
    <w:rsid w:val="00DF6F70"/>
    <w:rsid w:val="00DF767E"/>
    <w:rsid w:val="00DF7F58"/>
    <w:rsid w:val="00E001DD"/>
    <w:rsid w:val="00E00B34"/>
    <w:rsid w:val="00E0131D"/>
    <w:rsid w:val="00E014D6"/>
    <w:rsid w:val="00E0163D"/>
    <w:rsid w:val="00E01D6A"/>
    <w:rsid w:val="00E01FAC"/>
    <w:rsid w:val="00E02A78"/>
    <w:rsid w:val="00E03215"/>
    <w:rsid w:val="00E03665"/>
    <w:rsid w:val="00E037EA"/>
    <w:rsid w:val="00E03F81"/>
    <w:rsid w:val="00E0456F"/>
    <w:rsid w:val="00E04C70"/>
    <w:rsid w:val="00E04CEF"/>
    <w:rsid w:val="00E04D99"/>
    <w:rsid w:val="00E052ED"/>
    <w:rsid w:val="00E057B9"/>
    <w:rsid w:val="00E05B3A"/>
    <w:rsid w:val="00E068CF"/>
    <w:rsid w:val="00E068DD"/>
    <w:rsid w:val="00E069F5"/>
    <w:rsid w:val="00E06B15"/>
    <w:rsid w:val="00E06E5F"/>
    <w:rsid w:val="00E071AC"/>
    <w:rsid w:val="00E07BE2"/>
    <w:rsid w:val="00E07C6A"/>
    <w:rsid w:val="00E07C75"/>
    <w:rsid w:val="00E07CDF"/>
    <w:rsid w:val="00E07F75"/>
    <w:rsid w:val="00E10698"/>
    <w:rsid w:val="00E10DCD"/>
    <w:rsid w:val="00E11A4D"/>
    <w:rsid w:val="00E11D56"/>
    <w:rsid w:val="00E125DD"/>
    <w:rsid w:val="00E12DB8"/>
    <w:rsid w:val="00E12DE2"/>
    <w:rsid w:val="00E12F5E"/>
    <w:rsid w:val="00E1300B"/>
    <w:rsid w:val="00E13A36"/>
    <w:rsid w:val="00E14257"/>
    <w:rsid w:val="00E144F4"/>
    <w:rsid w:val="00E14A87"/>
    <w:rsid w:val="00E14BA7"/>
    <w:rsid w:val="00E15621"/>
    <w:rsid w:val="00E15A18"/>
    <w:rsid w:val="00E15A8E"/>
    <w:rsid w:val="00E15FA3"/>
    <w:rsid w:val="00E164F5"/>
    <w:rsid w:val="00E16540"/>
    <w:rsid w:val="00E16E9C"/>
    <w:rsid w:val="00E16EAB"/>
    <w:rsid w:val="00E17547"/>
    <w:rsid w:val="00E179A6"/>
    <w:rsid w:val="00E201DA"/>
    <w:rsid w:val="00E20C91"/>
    <w:rsid w:val="00E20EE7"/>
    <w:rsid w:val="00E21147"/>
    <w:rsid w:val="00E2126C"/>
    <w:rsid w:val="00E219E4"/>
    <w:rsid w:val="00E21DBD"/>
    <w:rsid w:val="00E2223E"/>
    <w:rsid w:val="00E22DB2"/>
    <w:rsid w:val="00E22E71"/>
    <w:rsid w:val="00E2388D"/>
    <w:rsid w:val="00E23DF7"/>
    <w:rsid w:val="00E23EAC"/>
    <w:rsid w:val="00E248B6"/>
    <w:rsid w:val="00E24991"/>
    <w:rsid w:val="00E249BE"/>
    <w:rsid w:val="00E24C36"/>
    <w:rsid w:val="00E24C6A"/>
    <w:rsid w:val="00E24F5F"/>
    <w:rsid w:val="00E25683"/>
    <w:rsid w:val="00E2602A"/>
    <w:rsid w:val="00E260BB"/>
    <w:rsid w:val="00E26234"/>
    <w:rsid w:val="00E26295"/>
    <w:rsid w:val="00E26922"/>
    <w:rsid w:val="00E27102"/>
    <w:rsid w:val="00E27332"/>
    <w:rsid w:val="00E275A5"/>
    <w:rsid w:val="00E27C16"/>
    <w:rsid w:val="00E27C50"/>
    <w:rsid w:val="00E30086"/>
    <w:rsid w:val="00E31417"/>
    <w:rsid w:val="00E319FF"/>
    <w:rsid w:val="00E32219"/>
    <w:rsid w:val="00E32454"/>
    <w:rsid w:val="00E32BDE"/>
    <w:rsid w:val="00E3359E"/>
    <w:rsid w:val="00E338E8"/>
    <w:rsid w:val="00E343D6"/>
    <w:rsid w:val="00E3441D"/>
    <w:rsid w:val="00E35182"/>
    <w:rsid w:val="00E359F5"/>
    <w:rsid w:val="00E35C2D"/>
    <w:rsid w:val="00E36644"/>
    <w:rsid w:val="00E36969"/>
    <w:rsid w:val="00E36BA0"/>
    <w:rsid w:val="00E36BC1"/>
    <w:rsid w:val="00E3736F"/>
    <w:rsid w:val="00E37C02"/>
    <w:rsid w:val="00E37C85"/>
    <w:rsid w:val="00E4031F"/>
    <w:rsid w:val="00E403EE"/>
    <w:rsid w:val="00E40421"/>
    <w:rsid w:val="00E40817"/>
    <w:rsid w:val="00E40BF9"/>
    <w:rsid w:val="00E40D11"/>
    <w:rsid w:val="00E40E58"/>
    <w:rsid w:val="00E41210"/>
    <w:rsid w:val="00E41717"/>
    <w:rsid w:val="00E4322C"/>
    <w:rsid w:val="00E43746"/>
    <w:rsid w:val="00E43EE8"/>
    <w:rsid w:val="00E44A87"/>
    <w:rsid w:val="00E45275"/>
    <w:rsid w:val="00E45397"/>
    <w:rsid w:val="00E460DA"/>
    <w:rsid w:val="00E46C58"/>
    <w:rsid w:val="00E4707D"/>
    <w:rsid w:val="00E47154"/>
    <w:rsid w:val="00E47D66"/>
    <w:rsid w:val="00E50510"/>
    <w:rsid w:val="00E507F0"/>
    <w:rsid w:val="00E5085E"/>
    <w:rsid w:val="00E5157D"/>
    <w:rsid w:val="00E521BF"/>
    <w:rsid w:val="00E52AD5"/>
    <w:rsid w:val="00E542C4"/>
    <w:rsid w:val="00E5449E"/>
    <w:rsid w:val="00E54A7D"/>
    <w:rsid w:val="00E54E1A"/>
    <w:rsid w:val="00E55262"/>
    <w:rsid w:val="00E5593D"/>
    <w:rsid w:val="00E55E0B"/>
    <w:rsid w:val="00E55E4B"/>
    <w:rsid w:val="00E55F27"/>
    <w:rsid w:val="00E5650A"/>
    <w:rsid w:val="00E573E3"/>
    <w:rsid w:val="00E57532"/>
    <w:rsid w:val="00E578EE"/>
    <w:rsid w:val="00E5796B"/>
    <w:rsid w:val="00E6002A"/>
    <w:rsid w:val="00E60142"/>
    <w:rsid w:val="00E605BD"/>
    <w:rsid w:val="00E609CD"/>
    <w:rsid w:val="00E60D54"/>
    <w:rsid w:val="00E60DD6"/>
    <w:rsid w:val="00E60F6D"/>
    <w:rsid w:val="00E61253"/>
    <w:rsid w:val="00E613CA"/>
    <w:rsid w:val="00E616A2"/>
    <w:rsid w:val="00E6195B"/>
    <w:rsid w:val="00E61A52"/>
    <w:rsid w:val="00E6228A"/>
    <w:rsid w:val="00E627F7"/>
    <w:rsid w:val="00E63644"/>
    <w:rsid w:val="00E644E9"/>
    <w:rsid w:val="00E64828"/>
    <w:rsid w:val="00E64EFF"/>
    <w:rsid w:val="00E655F0"/>
    <w:rsid w:val="00E65833"/>
    <w:rsid w:val="00E65C20"/>
    <w:rsid w:val="00E66050"/>
    <w:rsid w:val="00E66131"/>
    <w:rsid w:val="00E6728D"/>
    <w:rsid w:val="00E67A96"/>
    <w:rsid w:val="00E67E10"/>
    <w:rsid w:val="00E706C2"/>
    <w:rsid w:val="00E706F2"/>
    <w:rsid w:val="00E70ABE"/>
    <w:rsid w:val="00E716E9"/>
    <w:rsid w:val="00E71BDC"/>
    <w:rsid w:val="00E71E4C"/>
    <w:rsid w:val="00E731A1"/>
    <w:rsid w:val="00E732AB"/>
    <w:rsid w:val="00E732D0"/>
    <w:rsid w:val="00E7365C"/>
    <w:rsid w:val="00E73867"/>
    <w:rsid w:val="00E73A97"/>
    <w:rsid w:val="00E73D3F"/>
    <w:rsid w:val="00E74AF1"/>
    <w:rsid w:val="00E74BD9"/>
    <w:rsid w:val="00E74C7F"/>
    <w:rsid w:val="00E74F2A"/>
    <w:rsid w:val="00E75400"/>
    <w:rsid w:val="00E75526"/>
    <w:rsid w:val="00E76269"/>
    <w:rsid w:val="00E7637D"/>
    <w:rsid w:val="00E7642E"/>
    <w:rsid w:val="00E76B60"/>
    <w:rsid w:val="00E76E87"/>
    <w:rsid w:val="00E77022"/>
    <w:rsid w:val="00E772F6"/>
    <w:rsid w:val="00E772FB"/>
    <w:rsid w:val="00E7748D"/>
    <w:rsid w:val="00E775B5"/>
    <w:rsid w:val="00E77DF3"/>
    <w:rsid w:val="00E803C0"/>
    <w:rsid w:val="00E80BCD"/>
    <w:rsid w:val="00E80E93"/>
    <w:rsid w:val="00E81260"/>
    <w:rsid w:val="00E8195A"/>
    <w:rsid w:val="00E81E8E"/>
    <w:rsid w:val="00E823D0"/>
    <w:rsid w:val="00E832D0"/>
    <w:rsid w:val="00E834D6"/>
    <w:rsid w:val="00E83657"/>
    <w:rsid w:val="00E83943"/>
    <w:rsid w:val="00E83A2F"/>
    <w:rsid w:val="00E83BE5"/>
    <w:rsid w:val="00E83D2A"/>
    <w:rsid w:val="00E84716"/>
    <w:rsid w:val="00E84FC5"/>
    <w:rsid w:val="00E862F4"/>
    <w:rsid w:val="00E86667"/>
    <w:rsid w:val="00E86A46"/>
    <w:rsid w:val="00E873FB"/>
    <w:rsid w:val="00E87749"/>
    <w:rsid w:val="00E87F15"/>
    <w:rsid w:val="00E907D5"/>
    <w:rsid w:val="00E908F2"/>
    <w:rsid w:val="00E9137B"/>
    <w:rsid w:val="00E91B26"/>
    <w:rsid w:val="00E91BAA"/>
    <w:rsid w:val="00E925C9"/>
    <w:rsid w:val="00E928E6"/>
    <w:rsid w:val="00E92940"/>
    <w:rsid w:val="00E939B5"/>
    <w:rsid w:val="00E94AE0"/>
    <w:rsid w:val="00E95117"/>
    <w:rsid w:val="00E95510"/>
    <w:rsid w:val="00E95701"/>
    <w:rsid w:val="00E95D1D"/>
    <w:rsid w:val="00E95D45"/>
    <w:rsid w:val="00E95ECA"/>
    <w:rsid w:val="00E96071"/>
    <w:rsid w:val="00E96465"/>
    <w:rsid w:val="00E96A50"/>
    <w:rsid w:val="00E9718C"/>
    <w:rsid w:val="00E97A4B"/>
    <w:rsid w:val="00E97BB9"/>
    <w:rsid w:val="00EA10F7"/>
    <w:rsid w:val="00EA17F1"/>
    <w:rsid w:val="00EA193C"/>
    <w:rsid w:val="00EA26CA"/>
    <w:rsid w:val="00EA2AAA"/>
    <w:rsid w:val="00EA2BD3"/>
    <w:rsid w:val="00EA3299"/>
    <w:rsid w:val="00EA33F2"/>
    <w:rsid w:val="00EA3559"/>
    <w:rsid w:val="00EA4231"/>
    <w:rsid w:val="00EA457F"/>
    <w:rsid w:val="00EA4833"/>
    <w:rsid w:val="00EA4E9F"/>
    <w:rsid w:val="00EA5090"/>
    <w:rsid w:val="00EA5246"/>
    <w:rsid w:val="00EA558E"/>
    <w:rsid w:val="00EA5CD5"/>
    <w:rsid w:val="00EA5FFF"/>
    <w:rsid w:val="00EA647B"/>
    <w:rsid w:val="00EA76D3"/>
    <w:rsid w:val="00EA7BD0"/>
    <w:rsid w:val="00EB0570"/>
    <w:rsid w:val="00EB0636"/>
    <w:rsid w:val="00EB0A2D"/>
    <w:rsid w:val="00EB0EA7"/>
    <w:rsid w:val="00EB1102"/>
    <w:rsid w:val="00EB1217"/>
    <w:rsid w:val="00EB178E"/>
    <w:rsid w:val="00EB1F33"/>
    <w:rsid w:val="00EB1FD9"/>
    <w:rsid w:val="00EB24A3"/>
    <w:rsid w:val="00EB27AB"/>
    <w:rsid w:val="00EB28B9"/>
    <w:rsid w:val="00EB2950"/>
    <w:rsid w:val="00EB29D0"/>
    <w:rsid w:val="00EB2A4F"/>
    <w:rsid w:val="00EB33A7"/>
    <w:rsid w:val="00EB3EC1"/>
    <w:rsid w:val="00EB45D2"/>
    <w:rsid w:val="00EB5304"/>
    <w:rsid w:val="00EB536D"/>
    <w:rsid w:val="00EB5468"/>
    <w:rsid w:val="00EB5704"/>
    <w:rsid w:val="00EB589C"/>
    <w:rsid w:val="00EB5B48"/>
    <w:rsid w:val="00EB5D77"/>
    <w:rsid w:val="00EB67AF"/>
    <w:rsid w:val="00EB68B1"/>
    <w:rsid w:val="00EB6957"/>
    <w:rsid w:val="00EB6C83"/>
    <w:rsid w:val="00EB6D64"/>
    <w:rsid w:val="00EB6E96"/>
    <w:rsid w:val="00EB702E"/>
    <w:rsid w:val="00EB77BD"/>
    <w:rsid w:val="00EB7890"/>
    <w:rsid w:val="00EB78DD"/>
    <w:rsid w:val="00EB7914"/>
    <w:rsid w:val="00EB7F93"/>
    <w:rsid w:val="00EC0024"/>
    <w:rsid w:val="00EC0897"/>
    <w:rsid w:val="00EC0DBF"/>
    <w:rsid w:val="00EC0F4F"/>
    <w:rsid w:val="00EC180A"/>
    <w:rsid w:val="00EC1DB9"/>
    <w:rsid w:val="00EC2240"/>
    <w:rsid w:val="00EC2351"/>
    <w:rsid w:val="00EC23F6"/>
    <w:rsid w:val="00EC26BF"/>
    <w:rsid w:val="00EC2737"/>
    <w:rsid w:val="00EC2D4E"/>
    <w:rsid w:val="00EC3087"/>
    <w:rsid w:val="00EC3FA6"/>
    <w:rsid w:val="00EC4169"/>
    <w:rsid w:val="00EC418D"/>
    <w:rsid w:val="00EC4742"/>
    <w:rsid w:val="00EC475C"/>
    <w:rsid w:val="00EC4772"/>
    <w:rsid w:val="00EC4D60"/>
    <w:rsid w:val="00EC515C"/>
    <w:rsid w:val="00EC5D88"/>
    <w:rsid w:val="00EC63AD"/>
    <w:rsid w:val="00EC66E6"/>
    <w:rsid w:val="00EC6D36"/>
    <w:rsid w:val="00EC76BE"/>
    <w:rsid w:val="00EC771C"/>
    <w:rsid w:val="00EC7915"/>
    <w:rsid w:val="00ED0352"/>
    <w:rsid w:val="00ED0603"/>
    <w:rsid w:val="00ED0C6E"/>
    <w:rsid w:val="00ED13E6"/>
    <w:rsid w:val="00ED14A7"/>
    <w:rsid w:val="00ED17F6"/>
    <w:rsid w:val="00ED182B"/>
    <w:rsid w:val="00ED1910"/>
    <w:rsid w:val="00ED1D80"/>
    <w:rsid w:val="00ED1F48"/>
    <w:rsid w:val="00ED312E"/>
    <w:rsid w:val="00ED33DF"/>
    <w:rsid w:val="00ED40D0"/>
    <w:rsid w:val="00ED4ABB"/>
    <w:rsid w:val="00ED4ED4"/>
    <w:rsid w:val="00ED5573"/>
    <w:rsid w:val="00ED56F4"/>
    <w:rsid w:val="00ED5A20"/>
    <w:rsid w:val="00ED5D00"/>
    <w:rsid w:val="00ED5D58"/>
    <w:rsid w:val="00ED5EB6"/>
    <w:rsid w:val="00ED65CE"/>
    <w:rsid w:val="00ED6639"/>
    <w:rsid w:val="00ED6820"/>
    <w:rsid w:val="00ED6A96"/>
    <w:rsid w:val="00ED6BB6"/>
    <w:rsid w:val="00ED6D22"/>
    <w:rsid w:val="00ED77A3"/>
    <w:rsid w:val="00ED7B87"/>
    <w:rsid w:val="00ED7C30"/>
    <w:rsid w:val="00EE13E1"/>
    <w:rsid w:val="00EE1427"/>
    <w:rsid w:val="00EE1E45"/>
    <w:rsid w:val="00EE24AF"/>
    <w:rsid w:val="00EE262C"/>
    <w:rsid w:val="00EE28DA"/>
    <w:rsid w:val="00EE2C1A"/>
    <w:rsid w:val="00EE2FD3"/>
    <w:rsid w:val="00EE3006"/>
    <w:rsid w:val="00EE3294"/>
    <w:rsid w:val="00EE38B2"/>
    <w:rsid w:val="00EE3913"/>
    <w:rsid w:val="00EE3ECA"/>
    <w:rsid w:val="00EE434C"/>
    <w:rsid w:val="00EE4BBB"/>
    <w:rsid w:val="00EE4CCF"/>
    <w:rsid w:val="00EE5626"/>
    <w:rsid w:val="00EE58B1"/>
    <w:rsid w:val="00EE670D"/>
    <w:rsid w:val="00EE69B1"/>
    <w:rsid w:val="00EE74BE"/>
    <w:rsid w:val="00EE7D97"/>
    <w:rsid w:val="00EE7E84"/>
    <w:rsid w:val="00EF0B45"/>
    <w:rsid w:val="00EF11C3"/>
    <w:rsid w:val="00EF185A"/>
    <w:rsid w:val="00EF1CE0"/>
    <w:rsid w:val="00EF1FE9"/>
    <w:rsid w:val="00EF22F4"/>
    <w:rsid w:val="00EF2D7C"/>
    <w:rsid w:val="00EF2E44"/>
    <w:rsid w:val="00EF31B2"/>
    <w:rsid w:val="00EF32C2"/>
    <w:rsid w:val="00EF4681"/>
    <w:rsid w:val="00EF4CBE"/>
    <w:rsid w:val="00EF4DC7"/>
    <w:rsid w:val="00EF50FC"/>
    <w:rsid w:val="00EF52C0"/>
    <w:rsid w:val="00EF52ED"/>
    <w:rsid w:val="00EF5374"/>
    <w:rsid w:val="00EF57A7"/>
    <w:rsid w:val="00EF5A0D"/>
    <w:rsid w:val="00EF5CF5"/>
    <w:rsid w:val="00EF600A"/>
    <w:rsid w:val="00EF6085"/>
    <w:rsid w:val="00EF62B4"/>
    <w:rsid w:val="00EF6996"/>
    <w:rsid w:val="00EF6FAB"/>
    <w:rsid w:val="00EF7107"/>
    <w:rsid w:val="00EF723C"/>
    <w:rsid w:val="00EF7FEC"/>
    <w:rsid w:val="00F00197"/>
    <w:rsid w:val="00F00465"/>
    <w:rsid w:val="00F01488"/>
    <w:rsid w:val="00F0161A"/>
    <w:rsid w:val="00F01674"/>
    <w:rsid w:val="00F01A5A"/>
    <w:rsid w:val="00F02094"/>
    <w:rsid w:val="00F02098"/>
    <w:rsid w:val="00F02286"/>
    <w:rsid w:val="00F02A04"/>
    <w:rsid w:val="00F02F31"/>
    <w:rsid w:val="00F0357E"/>
    <w:rsid w:val="00F03673"/>
    <w:rsid w:val="00F038AC"/>
    <w:rsid w:val="00F03F31"/>
    <w:rsid w:val="00F04031"/>
    <w:rsid w:val="00F045C1"/>
    <w:rsid w:val="00F0488D"/>
    <w:rsid w:val="00F04ABF"/>
    <w:rsid w:val="00F04C76"/>
    <w:rsid w:val="00F04CD0"/>
    <w:rsid w:val="00F04CFE"/>
    <w:rsid w:val="00F055BB"/>
    <w:rsid w:val="00F05C12"/>
    <w:rsid w:val="00F0635F"/>
    <w:rsid w:val="00F068DC"/>
    <w:rsid w:val="00F06948"/>
    <w:rsid w:val="00F06ADF"/>
    <w:rsid w:val="00F070A9"/>
    <w:rsid w:val="00F0742A"/>
    <w:rsid w:val="00F07676"/>
    <w:rsid w:val="00F076A5"/>
    <w:rsid w:val="00F079D7"/>
    <w:rsid w:val="00F07E3C"/>
    <w:rsid w:val="00F102E2"/>
    <w:rsid w:val="00F103AE"/>
    <w:rsid w:val="00F11BA3"/>
    <w:rsid w:val="00F11DFC"/>
    <w:rsid w:val="00F126E5"/>
    <w:rsid w:val="00F129FE"/>
    <w:rsid w:val="00F12FE8"/>
    <w:rsid w:val="00F13A9B"/>
    <w:rsid w:val="00F13C38"/>
    <w:rsid w:val="00F13CAC"/>
    <w:rsid w:val="00F14FEC"/>
    <w:rsid w:val="00F15418"/>
    <w:rsid w:val="00F15E86"/>
    <w:rsid w:val="00F16A43"/>
    <w:rsid w:val="00F16E94"/>
    <w:rsid w:val="00F16F3A"/>
    <w:rsid w:val="00F17C9C"/>
    <w:rsid w:val="00F203F9"/>
    <w:rsid w:val="00F203FA"/>
    <w:rsid w:val="00F219E1"/>
    <w:rsid w:val="00F21F34"/>
    <w:rsid w:val="00F225A1"/>
    <w:rsid w:val="00F2279A"/>
    <w:rsid w:val="00F228C1"/>
    <w:rsid w:val="00F22939"/>
    <w:rsid w:val="00F232BE"/>
    <w:rsid w:val="00F23E43"/>
    <w:rsid w:val="00F23FF7"/>
    <w:rsid w:val="00F240DE"/>
    <w:rsid w:val="00F24116"/>
    <w:rsid w:val="00F25169"/>
    <w:rsid w:val="00F2525A"/>
    <w:rsid w:val="00F25326"/>
    <w:rsid w:val="00F25745"/>
    <w:rsid w:val="00F258AB"/>
    <w:rsid w:val="00F259DA"/>
    <w:rsid w:val="00F27202"/>
    <w:rsid w:val="00F27E71"/>
    <w:rsid w:val="00F30574"/>
    <w:rsid w:val="00F30857"/>
    <w:rsid w:val="00F30A46"/>
    <w:rsid w:val="00F30B5D"/>
    <w:rsid w:val="00F30D67"/>
    <w:rsid w:val="00F30EE8"/>
    <w:rsid w:val="00F30F1E"/>
    <w:rsid w:val="00F30FEC"/>
    <w:rsid w:val="00F31285"/>
    <w:rsid w:val="00F313FB"/>
    <w:rsid w:val="00F31C57"/>
    <w:rsid w:val="00F329E2"/>
    <w:rsid w:val="00F337D8"/>
    <w:rsid w:val="00F33BFF"/>
    <w:rsid w:val="00F3483D"/>
    <w:rsid w:val="00F34A8B"/>
    <w:rsid w:val="00F35022"/>
    <w:rsid w:val="00F35041"/>
    <w:rsid w:val="00F35F71"/>
    <w:rsid w:val="00F36055"/>
    <w:rsid w:val="00F360CA"/>
    <w:rsid w:val="00F374E0"/>
    <w:rsid w:val="00F37FBF"/>
    <w:rsid w:val="00F400F6"/>
    <w:rsid w:val="00F40730"/>
    <w:rsid w:val="00F407F4"/>
    <w:rsid w:val="00F40BCE"/>
    <w:rsid w:val="00F41AA3"/>
    <w:rsid w:val="00F42725"/>
    <w:rsid w:val="00F43877"/>
    <w:rsid w:val="00F4497A"/>
    <w:rsid w:val="00F44A41"/>
    <w:rsid w:val="00F45B29"/>
    <w:rsid w:val="00F45B3E"/>
    <w:rsid w:val="00F45EC5"/>
    <w:rsid w:val="00F464D4"/>
    <w:rsid w:val="00F4664C"/>
    <w:rsid w:val="00F46DD3"/>
    <w:rsid w:val="00F46E7C"/>
    <w:rsid w:val="00F47815"/>
    <w:rsid w:val="00F478F6"/>
    <w:rsid w:val="00F47A35"/>
    <w:rsid w:val="00F501AA"/>
    <w:rsid w:val="00F50412"/>
    <w:rsid w:val="00F50989"/>
    <w:rsid w:val="00F50A76"/>
    <w:rsid w:val="00F50DD0"/>
    <w:rsid w:val="00F50DE8"/>
    <w:rsid w:val="00F50F51"/>
    <w:rsid w:val="00F50FEC"/>
    <w:rsid w:val="00F51301"/>
    <w:rsid w:val="00F515AE"/>
    <w:rsid w:val="00F5245E"/>
    <w:rsid w:val="00F52D44"/>
    <w:rsid w:val="00F530E1"/>
    <w:rsid w:val="00F532FB"/>
    <w:rsid w:val="00F53FC6"/>
    <w:rsid w:val="00F548CC"/>
    <w:rsid w:val="00F54CF4"/>
    <w:rsid w:val="00F555F9"/>
    <w:rsid w:val="00F55D30"/>
    <w:rsid w:val="00F55F16"/>
    <w:rsid w:val="00F55FB4"/>
    <w:rsid w:val="00F5641E"/>
    <w:rsid w:val="00F56C03"/>
    <w:rsid w:val="00F5749F"/>
    <w:rsid w:val="00F575DD"/>
    <w:rsid w:val="00F57E22"/>
    <w:rsid w:val="00F60372"/>
    <w:rsid w:val="00F603A8"/>
    <w:rsid w:val="00F61838"/>
    <w:rsid w:val="00F61DB0"/>
    <w:rsid w:val="00F61DB6"/>
    <w:rsid w:val="00F62223"/>
    <w:rsid w:val="00F6262A"/>
    <w:rsid w:val="00F6268E"/>
    <w:rsid w:val="00F629B1"/>
    <w:rsid w:val="00F62AEC"/>
    <w:rsid w:val="00F62B5C"/>
    <w:rsid w:val="00F62DE7"/>
    <w:rsid w:val="00F6308F"/>
    <w:rsid w:val="00F636F6"/>
    <w:rsid w:val="00F63C6A"/>
    <w:rsid w:val="00F63E0C"/>
    <w:rsid w:val="00F6400A"/>
    <w:rsid w:val="00F64090"/>
    <w:rsid w:val="00F64C1F"/>
    <w:rsid w:val="00F64DA1"/>
    <w:rsid w:val="00F65009"/>
    <w:rsid w:val="00F656F6"/>
    <w:rsid w:val="00F658B1"/>
    <w:rsid w:val="00F65D5D"/>
    <w:rsid w:val="00F664FB"/>
    <w:rsid w:val="00F66CF4"/>
    <w:rsid w:val="00F6715B"/>
    <w:rsid w:val="00F675B6"/>
    <w:rsid w:val="00F67FA5"/>
    <w:rsid w:val="00F70C61"/>
    <w:rsid w:val="00F70E8F"/>
    <w:rsid w:val="00F71718"/>
    <w:rsid w:val="00F71949"/>
    <w:rsid w:val="00F71AC3"/>
    <w:rsid w:val="00F734D6"/>
    <w:rsid w:val="00F73850"/>
    <w:rsid w:val="00F73CD4"/>
    <w:rsid w:val="00F74089"/>
    <w:rsid w:val="00F74782"/>
    <w:rsid w:val="00F74811"/>
    <w:rsid w:val="00F748F7"/>
    <w:rsid w:val="00F74D3F"/>
    <w:rsid w:val="00F75AEB"/>
    <w:rsid w:val="00F76DEC"/>
    <w:rsid w:val="00F776EB"/>
    <w:rsid w:val="00F77738"/>
    <w:rsid w:val="00F777C7"/>
    <w:rsid w:val="00F77E97"/>
    <w:rsid w:val="00F801FF"/>
    <w:rsid w:val="00F805DD"/>
    <w:rsid w:val="00F820DB"/>
    <w:rsid w:val="00F82135"/>
    <w:rsid w:val="00F833DA"/>
    <w:rsid w:val="00F83B7A"/>
    <w:rsid w:val="00F84092"/>
    <w:rsid w:val="00F845A2"/>
    <w:rsid w:val="00F84707"/>
    <w:rsid w:val="00F85337"/>
    <w:rsid w:val="00F859B3"/>
    <w:rsid w:val="00F85AE4"/>
    <w:rsid w:val="00F85DD2"/>
    <w:rsid w:val="00F85E52"/>
    <w:rsid w:val="00F86126"/>
    <w:rsid w:val="00F87132"/>
    <w:rsid w:val="00F87644"/>
    <w:rsid w:val="00F8773A"/>
    <w:rsid w:val="00F87E32"/>
    <w:rsid w:val="00F9098D"/>
    <w:rsid w:val="00F91345"/>
    <w:rsid w:val="00F9142B"/>
    <w:rsid w:val="00F9151B"/>
    <w:rsid w:val="00F9185B"/>
    <w:rsid w:val="00F91F38"/>
    <w:rsid w:val="00F9216C"/>
    <w:rsid w:val="00F92CD4"/>
    <w:rsid w:val="00F92D82"/>
    <w:rsid w:val="00F9307F"/>
    <w:rsid w:val="00F93616"/>
    <w:rsid w:val="00F9365C"/>
    <w:rsid w:val="00F936A8"/>
    <w:rsid w:val="00F93EA6"/>
    <w:rsid w:val="00F943A4"/>
    <w:rsid w:val="00F94565"/>
    <w:rsid w:val="00F94CE2"/>
    <w:rsid w:val="00F955AB"/>
    <w:rsid w:val="00F95DD6"/>
    <w:rsid w:val="00F9632F"/>
    <w:rsid w:val="00F965CA"/>
    <w:rsid w:val="00F979FC"/>
    <w:rsid w:val="00FA0305"/>
    <w:rsid w:val="00FA09A6"/>
    <w:rsid w:val="00FA0AAE"/>
    <w:rsid w:val="00FA12F6"/>
    <w:rsid w:val="00FA1E35"/>
    <w:rsid w:val="00FA228C"/>
    <w:rsid w:val="00FA2E78"/>
    <w:rsid w:val="00FA3708"/>
    <w:rsid w:val="00FA3896"/>
    <w:rsid w:val="00FA570C"/>
    <w:rsid w:val="00FA5852"/>
    <w:rsid w:val="00FA5AF7"/>
    <w:rsid w:val="00FA5C46"/>
    <w:rsid w:val="00FA5CC9"/>
    <w:rsid w:val="00FA5CF5"/>
    <w:rsid w:val="00FA5FAC"/>
    <w:rsid w:val="00FA6923"/>
    <w:rsid w:val="00FA6CD5"/>
    <w:rsid w:val="00FA6D52"/>
    <w:rsid w:val="00FA71AE"/>
    <w:rsid w:val="00FA7514"/>
    <w:rsid w:val="00FA7923"/>
    <w:rsid w:val="00FB04EA"/>
    <w:rsid w:val="00FB0B2E"/>
    <w:rsid w:val="00FB0BB6"/>
    <w:rsid w:val="00FB0F73"/>
    <w:rsid w:val="00FB17E0"/>
    <w:rsid w:val="00FB1A6A"/>
    <w:rsid w:val="00FB2986"/>
    <w:rsid w:val="00FB2AB5"/>
    <w:rsid w:val="00FB39AA"/>
    <w:rsid w:val="00FB3A84"/>
    <w:rsid w:val="00FB3AD8"/>
    <w:rsid w:val="00FB3F14"/>
    <w:rsid w:val="00FB42E1"/>
    <w:rsid w:val="00FB45D6"/>
    <w:rsid w:val="00FB4807"/>
    <w:rsid w:val="00FB48AB"/>
    <w:rsid w:val="00FB58C6"/>
    <w:rsid w:val="00FB62FA"/>
    <w:rsid w:val="00FB6304"/>
    <w:rsid w:val="00FB6AED"/>
    <w:rsid w:val="00FC002D"/>
    <w:rsid w:val="00FC0088"/>
    <w:rsid w:val="00FC0464"/>
    <w:rsid w:val="00FC051E"/>
    <w:rsid w:val="00FC1518"/>
    <w:rsid w:val="00FC1D1D"/>
    <w:rsid w:val="00FC1F57"/>
    <w:rsid w:val="00FC216F"/>
    <w:rsid w:val="00FC2B00"/>
    <w:rsid w:val="00FC38AC"/>
    <w:rsid w:val="00FC3D45"/>
    <w:rsid w:val="00FC3F9F"/>
    <w:rsid w:val="00FC4522"/>
    <w:rsid w:val="00FC4D86"/>
    <w:rsid w:val="00FC4EFA"/>
    <w:rsid w:val="00FC4F56"/>
    <w:rsid w:val="00FC54AB"/>
    <w:rsid w:val="00FC57CB"/>
    <w:rsid w:val="00FC6C1B"/>
    <w:rsid w:val="00FC6F7E"/>
    <w:rsid w:val="00FC7D0C"/>
    <w:rsid w:val="00FC7FED"/>
    <w:rsid w:val="00FD06CF"/>
    <w:rsid w:val="00FD0BBA"/>
    <w:rsid w:val="00FD1095"/>
    <w:rsid w:val="00FD1DDA"/>
    <w:rsid w:val="00FD1EC2"/>
    <w:rsid w:val="00FD263C"/>
    <w:rsid w:val="00FD288E"/>
    <w:rsid w:val="00FD2DA5"/>
    <w:rsid w:val="00FD2F97"/>
    <w:rsid w:val="00FD39A3"/>
    <w:rsid w:val="00FD3E7D"/>
    <w:rsid w:val="00FD4196"/>
    <w:rsid w:val="00FD42EF"/>
    <w:rsid w:val="00FD462E"/>
    <w:rsid w:val="00FD46B1"/>
    <w:rsid w:val="00FD4D44"/>
    <w:rsid w:val="00FD5439"/>
    <w:rsid w:val="00FD564A"/>
    <w:rsid w:val="00FD620B"/>
    <w:rsid w:val="00FD63FB"/>
    <w:rsid w:val="00FD6535"/>
    <w:rsid w:val="00FD662D"/>
    <w:rsid w:val="00FD741D"/>
    <w:rsid w:val="00FD74DE"/>
    <w:rsid w:val="00FD74F6"/>
    <w:rsid w:val="00FD7762"/>
    <w:rsid w:val="00FD7C32"/>
    <w:rsid w:val="00FD7E8A"/>
    <w:rsid w:val="00FE06B3"/>
    <w:rsid w:val="00FE127C"/>
    <w:rsid w:val="00FE151D"/>
    <w:rsid w:val="00FE19A2"/>
    <w:rsid w:val="00FE19EC"/>
    <w:rsid w:val="00FE2370"/>
    <w:rsid w:val="00FE2490"/>
    <w:rsid w:val="00FE25AE"/>
    <w:rsid w:val="00FE33C0"/>
    <w:rsid w:val="00FE3433"/>
    <w:rsid w:val="00FE3FB6"/>
    <w:rsid w:val="00FE42FE"/>
    <w:rsid w:val="00FE4BFC"/>
    <w:rsid w:val="00FE4E37"/>
    <w:rsid w:val="00FE55AA"/>
    <w:rsid w:val="00FE57E0"/>
    <w:rsid w:val="00FE5B03"/>
    <w:rsid w:val="00FE5B59"/>
    <w:rsid w:val="00FE5ED8"/>
    <w:rsid w:val="00FE6337"/>
    <w:rsid w:val="00FE6520"/>
    <w:rsid w:val="00FE6A36"/>
    <w:rsid w:val="00FE6CD1"/>
    <w:rsid w:val="00FE73CF"/>
    <w:rsid w:val="00FF05ED"/>
    <w:rsid w:val="00FF06B7"/>
    <w:rsid w:val="00FF092C"/>
    <w:rsid w:val="00FF0963"/>
    <w:rsid w:val="00FF0F91"/>
    <w:rsid w:val="00FF1C86"/>
    <w:rsid w:val="00FF201E"/>
    <w:rsid w:val="00FF23B6"/>
    <w:rsid w:val="00FF2B5F"/>
    <w:rsid w:val="00FF2F57"/>
    <w:rsid w:val="00FF489E"/>
    <w:rsid w:val="00FF6764"/>
    <w:rsid w:val="00FF6838"/>
    <w:rsid w:val="00FF7287"/>
    <w:rsid w:val="00FF774A"/>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mso-height-percent:200;mso-width-relative:margin;mso-height-relative:margin" fillcolor="white">
      <v:fill color="white"/>
      <v:textbox style="mso-fit-shape-to-text:t"/>
    </o:shapedefaults>
    <o:shapelayout v:ext="edit">
      <o:idmap v:ext="edit" data="2"/>
    </o:shapelayout>
  </w:shapeDefaults>
  <w:decimalSymbol w:val="."/>
  <w:listSeparator w:val=","/>
  <w14:docId w14:val="779F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3EBC"/>
    <w:rPr>
      <w:sz w:val="24"/>
      <w:szCs w:val="24"/>
    </w:rPr>
  </w:style>
  <w:style w:type="paragraph" w:styleId="Heading1">
    <w:name w:val="heading 1"/>
    <w:basedOn w:val="Normal"/>
    <w:next w:val="Normal"/>
    <w:qFormat/>
    <w:rsid w:val="00A96BE9"/>
    <w:pPr>
      <w:keepNext/>
      <w:jc w:val="both"/>
      <w:outlineLvl w:val="0"/>
    </w:pPr>
    <w:rPr>
      <w:b/>
      <w:bCs/>
    </w:rPr>
  </w:style>
  <w:style w:type="paragraph" w:styleId="Heading2">
    <w:name w:val="heading 2"/>
    <w:basedOn w:val="Normal"/>
    <w:next w:val="Normal"/>
    <w:qFormat/>
    <w:rsid w:val="00A96BE9"/>
    <w:pPr>
      <w:keepNext/>
      <w:jc w:val="center"/>
      <w:outlineLvl w:val="1"/>
    </w:pPr>
    <w:rPr>
      <w:b/>
      <w:bCs/>
      <w:sz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96BE9"/>
    <w:pPr>
      <w:tabs>
        <w:tab w:val="center" w:pos="4320"/>
        <w:tab w:val="right" w:pos="8640"/>
      </w:tabs>
    </w:pPr>
  </w:style>
  <w:style w:type="paragraph" w:styleId="Footer">
    <w:name w:val="footer"/>
    <w:basedOn w:val="Normal"/>
    <w:link w:val="FooterChar"/>
    <w:rsid w:val="00A96BE9"/>
    <w:pPr>
      <w:tabs>
        <w:tab w:val="center" w:pos="4320"/>
        <w:tab w:val="right" w:pos="8640"/>
      </w:tabs>
    </w:pPr>
  </w:style>
  <w:style w:type="paragraph" w:styleId="BodyTextIndent2">
    <w:name w:val="Body Text Indent 2"/>
    <w:basedOn w:val="Normal"/>
    <w:rsid w:val="00A96BE9"/>
    <w:pPr>
      <w:ind w:firstLine="720"/>
      <w:jc w:val="both"/>
    </w:pPr>
  </w:style>
  <w:style w:type="paragraph" w:styleId="BodyText">
    <w:name w:val="Body Text"/>
    <w:basedOn w:val="Normal"/>
    <w:rsid w:val="00A96BE9"/>
    <w:pPr>
      <w:jc w:val="both"/>
    </w:pPr>
  </w:style>
  <w:style w:type="paragraph" w:styleId="BodyText3">
    <w:name w:val="Body Text 3"/>
    <w:basedOn w:val="Normal"/>
    <w:link w:val="BodyText3Char"/>
    <w:rsid w:val="00A96BE9"/>
    <w:pPr>
      <w:jc w:val="both"/>
    </w:pPr>
    <w:rPr>
      <w:color w:val="000000"/>
    </w:rPr>
  </w:style>
  <w:style w:type="character" w:styleId="PageNumber">
    <w:name w:val="page number"/>
    <w:basedOn w:val="DefaultParagraphFont"/>
    <w:rsid w:val="00A96BE9"/>
  </w:style>
  <w:style w:type="character" w:styleId="HeaderChar" w:customStyle="1">
    <w:name w:val="Header Char"/>
    <w:basedOn w:val="DefaultParagraphFont"/>
    <w:link w:val="Header"/>
    <w:uiPriority w:val="99"/>
    <w:rsid w:val="0016716B"/>
    <w:rPr>
      <w:sz w:val="24"/>
      <w:szCs w:val="24"/>
    </w:rPr>
  </w:style>
  <w:style w:type="character" w:styleId="Hyperlink">
    <w:name w:val="Hyperlink"/>
    <w:basedOn w:val="DefaultParagraphFont"/>
    <w:uiPriority w:val="99"/>
    <w:rsid w:val="00A60601"/>
    <w:rPr>
      <w:color w:val="0000FF"/>
      <w:u w:val="single"/>
    </w:rPr>
  </w:style>
  <w:style w:type="paragraph" w:styleId="BalloonText">
    <w:name w:val="Balloon Text"/>
    <w:basedOn w:val="Normal"/>
    <w:link w:val="BalloonTextChar"/>
    <w:rsid w:val="00C3547D"/>
    <w:rPr>
      <w:rFonts w:ascii="Tahoma" w:hAnsi="Tahoma" w:cs="Tahoma"/>
      <w:sz w:val="16"/>
      <w:szCs w:val="16"/>
    </w:rPr>
  </w:style>
  <w:style w:type="character" w:styleId="BalloonTextChar" w:customStyle="1">
    <w:name w:val="Balloon Text Char"/>
    <w:basedOn w:val="DefaultParagraphFont"/>
    <w:link w:val="BalloonText"/>
    <w:rsid w:val="00C3547D"/>
    <w:rPr>
      <w:rFonts w:ascii="Tahoma" w:hAnsi="Tahoma" w:cs="Tahoma"/>
      <w:sz w:val="16"/>
      <w:szCs w:val="16"/>
    </w:rPr>
  </w:style>
  <w:style w:type="character" w:styleId="FollowedHyperlink">
    <w:name w:val="FollowedHyperlink"/>
    <w:basedOn w:val="DefaultParagraphFont"/>
    <w:rsid w:val="00B30025"/>
    <w:rPr>
      <w:color w:val="800080" w:themeColor="followedHyperlink"/>
      <w:u w:val="single"/>
    </w:rPr>
  </w:style>
  <w:style w:type="table" w:styleId="TableGrid">
    <w:name w:val="Table Grid"/>
    <w:basedOn w:val="TableNormal"/>
    <w:uiPriority w:val="59"/>
    <w:rsid w:val="00C34D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link w:val="DocumentMapChar"/>
    <w:rsid w:val="00677309"/>
    <w:rPr>
      <w:rFonts w:ascii="Tahoma" w:hAnsi="Tahoma" w:cs="Tahoma"/>
      <w:sz w:val="16"/>
      <w:szCs w:val="16"/>
    </w:rPr>
  </w:style>
  <w:style w:type="character" w:styleId="DocumentMapChar" w:customStyle="1">
    <w:name w:val="Document Map Char"/>
    <w:basedOn w:val="DefaultParagraphFont"/>
    <w:link w:val="DocumentMap"/>
    <w:rsid w:val="00677309"/>
    <w:rPr>
      <w:rFonts w:ascii="Tahoma" w:hAnsi="Tahoma" w:cs="Tahoma"/>
      <w:sz w:val="16"/>
      <w:szCs w:val="16"/>
    </w:rPr>
  </w:style>
  <w:style w:type="character" w:styleId="CommentReference">
    <w:name w:val="annotation reference"/>
    <w:basedOn w:val="DefaultParagraphFont"/>
    <w:uiPriority w:val="99"/>
    <w:rsid w:val="000F2645"/>
    <w:rPr>
      <w:sz w:val="16"/>
      <w:szCs w:val="16"/>
    </w:rPr>
  </w:style>
  <w:style w:type="paragraph" w:styleId="CommentText">
    <w:name w:val="annotation text"/>
    <w:basedOn w:val="Normal"/>
    <w:link w:val="CommentTextChar"/>
    <w:uiPriority w:val="99"/>
    <w:rsid w:val="000F2645"/>
    <w:rPr>
      <w:sz w:val="20"/>
      <w:szCs w:val="20"/>
    </w:rPr>
  </w:style>
  <w:style w:type="character" w:styleId="CommentTextChar" w:customStyle="1">
    <w:name w:val="Comment Text Char"/>
    <w:basedOn w:val="DefaultParagraphFont"/>
    <w:link w:val="CommentText"/>
    <w:uiPriority w:val="99"/>
    <w:rsid w:val="000F2645"/>
  </w:style>
  <w:style w:type="paragraph" w:styleId="CommentSubject">
    <w:name w:val="annotation subject"/>
    <w:basedOn w:val="CommentText"/>
    <w:next w:val="CommentText"/>
    <w:link w:val="CommentSubjectChar"/>
    <w:rsid w:val="000F2645"/>
    <w:rPr>
      <w:b/>
      <w:bCs/>
    </w:rPr>
  </w:style>
  <w:style w:type="character" w:styleId="CommentSubjectChar" w:customStyle="1">
    <w:name w:val="Comment Subject Char"/>
    <w:basedOn w:val="CommentTextChar"/>
    <w:link w:val="CommentSubject"/>
    <w:rsid w:val="000F2645"/>
    <w:rPr>
      <w:b/>
      <w:bCs/>
    </w:rPr>
  </w:style>
  <w:style w:type="character" w:styleId="Style1" w:customStyle="1">
    <w:name w:val="Style1"/>
    <w:basedOn w:val="DefaultParagraphFont"/>
    <w:uiPriority w:val="1"/>
    <w:qFormat/>
    <w:rsid w:val="007975B3"/>
    <w:rPr>
      <w:rFonts w:ascii="Times New Roman" w:hAnsi="Times New Roman"/>
      <w:color w:val="auto"/>
      <w:sz w:val="22"/>
    </w:rPr>
  </w:style>
  <w:style w:type="character" w:styleId="PlaceholderText">
    <w:name w:val="Placeholder Text"/>
    <w:basedOn w:val="DefaultParagraphFont"/>
    <w:uiPriority w:val="99"/>
    <w:semiHidden/>
    <w:rsid w:val="00351113"/>
    <w:rPr>
      <w:color w:val="808080"/>
    </w:rPr>
  </w:style>
  <w:style w:type="character" w:styleId="Style2" w:customStyle="1">
    <w:name w:val="Style2"/>
    <w:basedOn w:val="DefaultParagraphFont"/>
    <w:uiPriority w:val="1"/>
    <w:rsid w:val="00351113"/>
    <w:rPr>
      <w:rFonts w:ascii="Times New Roman" w:hAnsi="Times New Roman"/>
      <w:color w:val="C00000"/>
      <w:sz w:val="24"/>
    </w:rPr>
  </w:style>
  <w:style w:type="character" w:styleId="Style3" w:customStyle="1">
    <w:name w:val="Style3"/>
    <w:basedOn w:val="DefaultParagraphFont"/>
    <w:uiPriority w:val="1"/>
    <w:rsid w:val="005F1D39"/>
    <w:rPr>
      <w:rFonts w:ascii="Times New Roman" w:hAnsi="Times New Roman"/>
      <w:color w:val="auto"/>
      <w:sz w:val="20"/>
    </w:rPr>
  </w:style>
  <w:style w:type="character" w:styleId="Style4" w:customStyle="1">
    <w:name w:val="Style4"/>
    <w:basedOn w:val="DefaultParagraphFont"/>
    <w:uiPriority w:val="1"/>
    <w:rsid w:val="005F1D39"/>
    <w:rPr>
      <w:rFonts w:ascii="Times New Roman" w:hAnsi="Times New Roman"/>
      <w:color w:val="auto"/>
      <w:sz w:val="20"/>
    </w:rPr>
  </w:style>
  <w:style w:type="character" w:styleId="Style5" w:customStyle="1">
    <w:name w:val="Style5"/>
    <w:basedOn w:val="DefaultParagraphFont"/>
    <w:uiPriority w:val="1"/>
    <w:rsid w:val="005F1D39"/>
    <w:rPr>
      <w:rFonts w:ascii="Times New Roman" w:hAnsi="Times New Roman"/>
      <w:color w:val="C00000"/>
      <w:sz w:val="20"/>
    </w:rPr>
  </w:style>
  <w:style w:type="character" w:styleId="Style6" w:customStyle="1">
    <w:name w:val="Style6"/>
    <w:basedOn w:val="DefaultParagraphFont"/>
    <w:uiPriority w:val="1"/>
    <w:rsid w:val="005F1D39"/>
    <w:rPr>
      <w:rFonts w:ascii="Times New Roman" w:hAnsi="Times New Roman"/>
      <w:color w:val="auto"/>
      <w:sz w:val="20"/>
    </w:rPr>
  </w:style>
  <w:style w:type="paragraph" w:styleId="ListParagraph">
    <w:name w:val="List Paragraph"/>
    <w:basedOn w:val="Normal"/>
    <w:link w:val="ListParagraphChar"/>
    <w:uiPriority w:val="34"/>
    <w:qFormat/>
    <w:rsid w:val="00BD5F56"/>
    <w:pPr>
      <w:spacing w:line="276" w:lineRule="auto"/>
      <w:ind w:left="720"/>
      <w:contextualSpacing/>
    </w:pPr>
    <w:rPr>
      <w:rFonts w:eastAsiaTheme="minorHAnsi" w:cstheme="minorBidi"/>
      <w:szCs w:val="22"/>
    </w:rPr>
  </w:style>
  <w:style w:type="character" w:styleId="Style7" w:customStyle="1">
    <w:name w:val="Style7"/>
    <w:basedOn w:val="DefaultParagraphFont"/>
    <w:uiPriority w:val="1"/>
    <w:rsid w:val="00AE6F59"/>
    <w:rPr>
      <w:rFonts w:ascii="Times New Roman" w:hAnsi="Times New Roman"/>
      <w:color w:val="auto"/>
      <w:sz w:val="24"/>
    </w:rPr>
  </w:style>
  <w:style w:type="character" w:styleId="Style8" w:customStyle="1">
    <w:name w:val="Style8"/>
    <w:basedOn w:val="DefaultParagraphFont"/>
    <w:uiPriority w:val="1"/>
    <w:rsid w:val="009E05E9"/>
    <w:rPr>
      <w:rFonts w:ascii="Times New Roman" w:hAnsi="Times New Roman"/>
      <w:b/>
      <w:caps/>
      <w:dstrike w:val="0"/>
      <w:sz w:val="24"/>
      <w:vertAlign w:val="baseline"/>
    </w:rPr>
  </w:style>
  <w:style w:type="paragraph" w:styleId="BodyTextIndent">
    <w:name w:val="Body Text Indent"/>
    <w:basedOn w:val="Normal"/>
    <w:link w:val="BodyTextIndentChar"/>
    <w:rsid w:val="00821A0D"/>
    <w:pPr>
      <w:spacing w:after="120"/>
      <w:ind w:left="360"/>
    </w:pPr>
  </w:style>
  <w:style w:type="character" w:styleId="BodyTextIndentChar" w:customStyle="1">
    <w:name w:val="Body Text Indent Char"/>
    <w:basedOn w:val="DefaultParagraphFont"/>
    <w:link w:val="BodyTextIndent"/>
    <w:rsid w:val="00821A0D"/>
    <w:rPr>
      <w:sz w:val="24"/>
      <w:szCs w:val="24"/>
    </w:rPr>
  </w:style>
  <w:style w:type="paragraph" w:styleId="BodyTextIndent3">
    <w:name w:val="Body Text Indent 3"/>
    <w:basedOn w:val="Normal"/>
    <w:link w:val="BodyTextIndent3Char"/>
    <w:rsid w:val="00A8462B"/>
    <w:pPr>
      <w:spacing w:after="120"/>
      <w:ind w:left="360"/>
    </w:pPr>
    <w:rPr>
      <w:sz w:val="16"/>
      <w:szCs w:val="16"/>
    </w:rPr>
  </w:style>
  <w:style w:type="character" w:styleId="BodyTextIndent3Char" w:customStyle="1">
    <w:name w:val="Body Text Indent 3 Char"/>
    <w:basedOn w:val="DefaultParagraphFont"/>
    <w:link w:val="BodyTextIndent3"/>
    <w:rsid w:val="00A8462B"/>
    <w:rPr>
      <w:sz w:val="16"/>
      <w:szCs w:val="16"/>
    </w:rPr>
  </w:style>
  <w:style w:type="paragraph" w:styleId="Default" w:customStyle="1">
    <w:name w:val="Default"/>
    <w:uiPriority w:val="99"/>
    <w:rsid w:val="00E4707D"/>
    <w:pPr>
      <w:autoSpaceDE w:val="0"/>
      <w:autoSpaceDN w:val="0"/>
      <w:adjustRightInd w:val="0"/>
    </w:pPr>
    <w:rPr>
      <w:color w:val="000000"/>
      <w:sz w:val="24"/>
      <w:szCs w:val="24"/>
    </w:rPr>
  </w:style>
  <w:style w:type="character" w:styleId="FooterChar" w:customStyle="1">
    <w:name w:val="Footer Char"/>
    <w:basedOn w:val="DefaultParagraphFont"/>
    <w:link w:val="Footer"/>
    <w:rsid w:val="000C68AB"/>
    <w:rPr>
      <w:sz w:val="24"/>
      <w:szCs w:val="24"/>
    </w:rPr>
  </w:style>
  <w:style w:type="character" w:styleId="ListParagraphChar" w:customStyle="1">
    <w:name w:val="List Paragraph Char"/>
    <w:basedOn w:val="DefaultParagraphFont"/>
    <w:link w:val="ListParagraph"/>
    <w:uiPriority w:val="34"/>
    <w:rsid w:val="00F11BA3"/>
    <w:rPr>
      <w:rFonts w:eastAsiaTheme="minorHAnsi" w:cstheme="minorBidi"/>
      <w:sz w:val="24"/>
      <w:szCs w:val="22"/>
    </w:rPr>
  </w:style>
  <w:style w:type="character" w:styleId="Style9" w:customStyle="1">
    <w:name w:val="Style9"/>
    <w:basedOn w:val="DefaultParagraphFont"/>
    <w:uiPriority w:val="1"/>
    <w:rsid w:val="00F30D67"/>
    <w:rPr>
      <w:b w:val="0"/>
      <w:i w:val="0"/>
    </w:rPr>
  </w:style>
  <w:style w:type="paragraph" w:styleId="BodyText2">
    <w:name w:val="Body Text 2"/>
    <w:basedOn w:val="Normal"/>
    <w:link w:val="BodyText2Char"/>
    <w:rsid w:val="007613AD"/>
    <w:pPr>
      <w:spacing w:after="120" w:line="480" w:lineRule="auto"/>
    </w:pPr>
  </w:style>
  <w:style w:type="character" w:styleId="BodyText2Char" w:customStyle="1">
    <w:name w:val="Body Text 2 Char"/>
    <w:basedOn w:val="DefaultParagraphFont"/>
    <w:link w:val="BodyText2"/>
    <w:rsid w:val="007613AD"/>
    <w:rPr>
      <w:sz w:val="24"/>
      <w:szCs w:val="24"/>
    </w:rPr>
  </w:style>
  <w:style w:type="paragraph" w:styleId="KeyandNotes" w:customStyle="1">
    <w:name w:val="Key and Notes"/>
    <w:basedOn w:val="Normal"/>
    <w:link w:val="KeyandNotesChar"/>
    <w:autoRedefine/>
    <w:qFormat/>
    <w:rsid w:val="0004059D"/>
    <w:rPr>
      <w:rFonts w:cs="Courier New"/>
      <w:b/>
      <w:sz w:val="20"/>
      <w:szCs w:val="20"/>
    </w:rPr>
  </w:style>
  <w:style w:type="character" w:styleId="KeyandNotesChar" w:customStyle="1">
    <w:name w:val="Key and Notes Char"/>
    <w:basedOn w:val="DefaultParagraphFont"/>
    <w:link w:val="KeyandNotes"/>
    <w:rsid w:val="0004059D"/>
    <w:rPr>
      <w:rFonts w:cs="Courier New"/>
      <w:b/>
    </w:rPr>
  </w:style>
  <w:style w:type="character" w:styleId="UnresolvedMention">
    <w:name w:val="Unresolved Mention"/>
    <w:basedOn w:val="DefaultParagraphFont"/>
    <w:uiPriority w:val="99"/>
    <w:semiHidden/>
    <w:unhideWhenUsed/>
    <w:rsid w:val="001E335E"/>
    <w:rPr>
      <w:color w:val="605E5C"/>
      <w:shd w:val="clear" w:color="auto" w:fill="E1DFDD"/>
    </w:rPr>
  </w:style>
  <w:style w:type="paragraph" w:styleId="Prepared" w:customStyle="1">
    <w:name w:val="Prepared"/>
    <w:rsid w:val="00827817"/>
    <w:pPr>
      <w:widowControl w:val="0"/>
      <w:tabs>
        <w:tab w:val="left" w:pos="-720"/>
      </w:tabs>
      <w:suppressAutoHyphens/>
    </w:pPr>
    <w:rPr>
      <w:rFonts w:ascii="Courier" w:hAnsi="Courier"/>
    </w:rPr>
  </w:style>
  <w:style w:type="table" w:styleId="TableGrid1" w:customStyle="1">
    <w:name w:val="Table Grid1"/>
    <w:basedOn w:val="TableNormal"/>
    <w:next w:val="TableGrid"/>
    <w:uiPriority w:val="59"/>
    <w:rsid w:val="004C69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F6996"/>
    <w:rPr>
      <w:sz w:val="24"/>
      <w:szCs w:val="24"/>
    </w:rPr>
  </w:style>
  <w:style w:type="paragraph" w:styleId="TableParagraph" w:customStyle="1">
    <w:name w:val="Table Paragraph"/>
    <w:basedOn w:val="Normal"/>
    <w:uiPriority w:val="1"/>
    <w:qFormat/>
    <w:rsid w:val="00DD4385"/>
    <w:pPr>
      <w:widowControl w:val="0"/>
      <w:autoSpaceDE w:val="0"/>
      <w:autoSpaceDN w:val="0"/>
    </w:pPr>
    <w:rPr>
      <w:sz w:val="22"/>
      <w:szCs w:val="22"/>
    </w:rPr>
  </w:style>
  <w:style w:type="character" w:styleId="BodyText3Char" w:customStyle="1">
    <w:name w:val="Body Text 3 Char"/>
    <w:basedOn w:val="DefaultParagraphFont"/>
    <w:link w:val="BodyText3"/>
    <w:rsid w:val="005E2285"/>
    <w:rPr>
      <w:color w:val="000000"/>
      <w:sz w:val="24"/>
      <w:szCs w:val="24"/>
    </w:rPr>
  </w:style>
  <w:style w:type="paragraph" w:styleId="GTDocID" w:customStyle="1">
    <w:name w:val="GT DocID"/>
    <w:basedOn w:val="Normal"/>
    <w:next w:val="Normal"/>
    <w:link w:val="GTDocIDChar"/>
    <w:qFormat/>
    <w:rsid w:val="008308D1"/>
    <w:pPr>
      <w:spacing w:after="200" w:line="276" w:lineRule="auto"/>
    </w:pPr>
    <w:rPr>
      <w:rFonts w:ascii="Arial" w:hAnsi="Arial" w:eastAsiaTheme="minorHAnsi" w:cstheme="minorBidi"/>
      <w:i/>
      <w:noProof/>
      <w:sz w:val="16"/>
      <w:szCs w:val="22"/>
    </w:rPr>
  </w:style>
  <w:style w:type="character" w:styleId="GTDocIDChar" w:customStyle="1">
    <w:name w:val="GT DocID Char"/>
    <w:basedOn w:val="DefaultParagraphFont"/>
    <w:link w:val="GTDocID"/>
    <w:rsid w:val="008308D1"/>
    <w:rPr>
      <w:rFonts w:ascii="Arial" w:hAnsi="Arial" w:eastAsiaTheme="minorHAnsi" w:cstheme="minorBidi"/>
      <w:i/>
      <w:noProof/>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203240">
      <w:bodyDiv w:val="1"/>
      <w:marLeft w:val="0"/>
      <w:marRight w:val="0"/>
      <w:marTop w:val="0"/>
      <w:marBottom w:val="0"/>
      <w:divBdr>
        <w:top w:val="none" w:sz="0" w:space="0" w:color="auto"/>
        <w:left w:val="none" w:sz="0" w:space="0" w:color="auto"/>
        <w:bottom w:val="none" w:sz="0" w:space="0" w:color="auto"/>
        <w:right w:val="none" w:sz="0" w:space="0" w:color="auto"/>
      </w:divBdr>
    </w:div>
    <w:div w:id="694892335">
      <w:bodyDiv w:val="1"/>
      <w:marLeft w:val="0"/>
      <w:marRight w:val="0"/>
      <w:marTop w:val="0"/>
      <w:marBottom w:val="0"/>
      <w:divBdr>
        <w:top w:val="none" w:sz="0" w:space="0" w:color="auto"/>
        <w:left w:val="none" w:sz="0" w:space="0" w:color="auto"/>
        <w:bottom w:val="none" w:sz="0" w:space="0" w:color="auto"/>
        <w:right w:val="none" w:sz="0" w:space="0" w:color="auto"/>
      </w:divBdr>
    </w:div>
    <w:div w:id="803623346">
      <w:bodyDiv w:val="1"/>
      <w:marLeft w:val="0"/>
      <w:marRight w:val="0"/>
      <w:marTop w:val="0"/>
      <w:marBottom w:val="0"/>
      <w:divBdr>
        <w:top w:val="none" w:sz="0" w:space="0" w:color="auto"/>
        <w:left w:val="none" w:sz="0" w:space="0" w:color="auto"/>
        <w:bottom w:val="none" w:sz="0" w:space="0" w:color="auto"/>
        <w:right w:val="none" w:sz="0" w:space="0" w:color="auto"/>
      </w:divBdr>
    </w:div>
    <w:div w:id="884566948">
      <w:bodyDiv w:val="1"/>
      <w:marLeft w:val="0"/>
      <w:marRight w:val="0"/>
      <w:marTop w:val="0"/>
      <w:marBottom w:val="0"/>
      <w:divBdr>
        <w:top w:val="none" w:sz="0" w:space="0" w:color="auto"/>
        <w:left w:val="none" w:sz="0" w:space="0" w:color="auto"/>
        <w:bottom w:val="none" w:sz="0" w:space="0" w:color="auto"/>
        <w:right w:val="none" w:sz="0" w:space="0" w:color="auto"/>
      </w:divBdr>
    </w:div>
    <w:div w:id="896013471">
      <w:bodyDiv w:val="1"/>
      <w:marLeft w:val="0"/>
      <w:marRight w:val="0"/>
      <w:marTop w:val="0"/>
      <w:marBottom w:val="0"/>
      <w:divBdr>
        <w:top w:val="none" w:sz="0" w:space="0" w:color="auto"/>
        <w:left w:val="none" w:sz="0" w:space="0" w:color="auto"/>
        <w:bottom w:val="none" w:sz="0" w:space="0" w:color="auto"/>
        <w:right w:val="none" w:sz="0" w:space="0" w:color="auto"/>
      </w:divBdr>
    </w:div>
    <w:div w:id="1043023891">
      <w:bodyDiv w:val="1"/>
      <w:marLeft w:val="0"/>
      <w:marRight w:val="0"/>
      <w:marTop w:val="0"/>
      <w:marBottom w:val="0"/>
      <w:divBdr>
        <w:top w:val="none" w:sz="0" w:space="0" w:color="auto"/>
        <w:left w:val="none" w:sz="0" w:space="0" w:color="auto"/>
        <w:bottom w:val="none" w:sz="0" w:space="0" w:color="auto"/>
        <w:right w:val="none" w:sz="0" w:space="0" w:color="auto"/>
      </w:divBdr>
    </w:div>
    <w:div w:id="1077509605">
      <w:bodyDiv w:val="1"/>
      <w:marLeft w:val="0"/>
      <w:marRight w:val="0"/>
      <w:marTop w:val="0"/>
      <w:marBottom w:val="0"/>
      <w:divBdr>
        <w:top w:val="none" w:sz="0" w:space="0" w:color="auto"/>
        <w:left w:val="none" w:sz="0" w:space="0" w:color="auto"/>
        <w:bottom w:val="none" w:sz="0" w:space="0" w:color="auto"/>
        <w:right w:val="none" w:sz="0" w:space="0" w:color="auto"/>
      </w:divBdr>
    </w:div>
    <w:div w:id="1458718957">
      <w:bodyDiv w:val="1"/>
      <w:marLeft w:val="0"/>
      <w:marRight w:val="0"/>
      <w:marTop w:val="0"/>
      <w:marBottom w:val="0"/>
      <w:divBdr>
        <w:top w:val="none" w:sz="0" w:space="0" w:color="auto"/>
        <w:left w:val="none" w:sz="0" w:space="0" w:color="auto"/>
        <w:bottom w:val="none" w:sz="0" w:space="0" w:color="auto"/>
        <w:right w:val="none" w:sz="0" w:space="0" w:color="auto"/>
      </w:divBdr>
    </w:div>
    <w:div w:id="1618683497">
      <w:bodyDiv w:val="1"/>
      <w:marLeft w:val="0"/>
      <w:marRight w:val="0"/>
      <w:marTop w:val="0"/>
      <w:marBottom w:val="0"/>
      <w:divBdr>
        <w:top w:val="none" w:sz="0" w:space="0" w:color="auto"/>
        <w:left w:val="none" w:sz="0" w:space="0" w:color="auto"/>
        <w:bottom w:val="none" w:sz="0" w:space="0" w:color="auto"/>
        <w:right w:val="none" w:sz="0" w:space="0" w:color="auto"/>
      </w:divBdr>
    </w:div>
    <w:div w:id="2038894053">
      <w:bodyDiv w:val="1"/>
      <w:marLeft w:val="0"/>
      <w:marRight w:val="0"/>
      <w:marTop w:val="0"/>
      <w:marBottom w:val="0"/>
      <w:divBdr>
        <w:top w:val="none" w:sz="0" w:space="0" w:color="auto"/>
        <w:left w:val="none" w:sz="0" w:space="0" w:color="auto"/>
        <w:bottom w:val="none" w:sz="0" w:space="0" w:color="auto"/>
        <w:right w:val="none" w:sz="0" w:space="0" w:color="auto"/>
      </w:divBdr>
    </w:div>
    <w:div w:id="2039576723">
      <w:bodyDiv w:val="1"/>
      <w:marLeft w:val="0"/>
      <w:marRight w:val="0"/>
      <w:marTop w:val="0"/>
      <w:marBottom w:val="0"/>
      <w:divBdr>
        <w:top w:val="none" w:sz="0" w:space="0" w:color="auto"/>
        <w:left w:val="none" w:sz="0" w:space="0" w:color="auto"/>
        <w:bottom w:val="none" w:sz="0" w:space="0" w:color="auto"/>
        <w:right w:val="none" w:sz="0" w:space="0" w:color="auto"/>
      </w:divBdr>
    </w:div>
    <w:div w:id="204690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yperlink" Target="https://eeaonline.eea.state.ma.us/EEA/ComplianceReport/" TargetMode="External" Id="rId18" /><Relationship Type="http://schemas.openxmlformats.org/officeDocument/2006/relationships/glossaryDocument" Target="glossary/document.xml" Id="rId26" /><Relationship Type="http://schemas.openxmlformats.org/officeDocument/2006/relationships/styles" Target="styles.xml" Id="rId3" /><Relationship Type="http://schemas.openxmlformats.org/officeDocument/2006/relationships/hyperlink" Target="https://eeaonline.eea.state.ma.us/EEA/ComplianceReport/" TargetMode="Externa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hyperlink" Target="mailto:NERO.Air@mass.gov"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mailto:NERO.Air@mass.gov" TargetMode="External" Id="rId16" /><Relationship Type="http://schemas.openxmlformats.org/officeDocument/2006/relationships/hyperlink" Target="mailto:NERO.Air@mass.gov" TargetMode="Externa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footer" Target="footer4.xml" Id="rId24" /><Relationship Type="http://schemas.openxmlformats.org/officeDocument/2006/relationships/webSettings" Target="webSettings.xml" Id="rId5" /><Relationship Type="http://schemas.openxmlformats.org/officeDocument/2006/relationships/hyperlink" Target="https://www.mass.gov/guides/massdep-facility-wide-emission-restrictions-caps-reporting" TargetMode="External" Id="rId15" /><Relationship Type="http://schemas.openxmlformats.org/officeDocument/2006/relationships/hyperlink" Target="https://www.mass.gov/doc/adjudicatory-hearing-fee-transmittal-form/download" TargetMode="External" Id="rId23" /><Relationship Type="http://schemas.openxmlformats.org/officeDocument/2006/relationships/footer" Target="footer1.xml" Id="rId10" /><Relationship Type="http://schemas.openxmlformats.org/officeDocument/2006/relationships/hyperlink" Target="mailto:NERO.Air@mass.gov" TargetMode="Externa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s://www.mass.gov/guides/massdep-facility-wide-emission-restrictions-caps-reporting" TargetMode="External" Id="rId14" /><Relationship Type="http://schemas.openxmlformats.org/officeDocument/2006/relationships/hyperlink" Target="mailto:NERO.Air@mass.gov" TargetMode="External" Id="rId22" /><Relationship Type="http://schemas.openxmlformats.org/officeDocument/2006/relationships/theme" Target="theme/theme1.xml" Id="rId27"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0427E119B44447805FA029D6016205"/>
        <w:category>
          <w:name w:val="General"/>
          <w:gallery w:val="placeholder"/>
        </w:category>
        <w:types>
          <w:type w:val="bbPlcHdr"/>
        </w:types>
        <w:behaviors>
          <w:behavior w:val="content"/>
        </w:behaviors>
        <w:guid w:val="{C7393211-C7F5-4F51-8706-5D4A512D5F35}"/>
      </w:docPartPr>
      <w:docPartBody>
        <w:p w:rsidR="00A76365" w:rsidRDefault="00C32087" w:rsidP="00C32087">
          <w:pPr>
            <w:pStyle w:val="AC0427E119B44447805FA029D60162051"/>
          </w:pPr>
          <w:r w:rsidRPr="00767467">
            <w:rPr>
              <w:rStyle w:val="Style4"/>
              <w:color w:val="FF0000"/>
            </w:rPr>
            <w:t>Choose a fee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92A35"/>
    <w:rsid w:val="00010898"/>
    <w:rsid w:val="00060557"/>
    <w:rsid w:val="00073FC0"/>
    <w:rsid w:val="0008249A"/>
    <w:rsid w:val="00092F91"/>
    <w:rsid w:val="000C1FCA"/>
    <w:rsid w:val="000F62FD"/>
    <w:rsid w:val="00111758"/>
    <w:rsid w:val="00135C26"/>
    <w:rsid w:val="0015052D"/>
    <w:rsid w:val="001658E0"/>
    <w:rsid w:val="0016719D"/>
    <w:rsid w:val="0017027C"/>
    <w:rsid w:val="00191CC6"/>
    <w:rsid w:val="00193B3F"/>
    <w:rsid w:val="0019562D"/>
    <w:rsid w:val="001A24A1"/>
    <w:rsid w:val="001B25D9"/>
    <w:rsid w:val="001D3366"/>
    <w:rsid w:val="001D3F7C"/>
    <w:rsid w:val="001D408F"/>
    <w:rsid w:val="001E0DE6"/>
    <w:rsid w:val="001F6439"/>
    <w:rsid w:val="001F6E70"/>
    <w:rsid w:val="002007E9"/>
    <w:rsid w:val="00203472"/>
    <w:rsid w:val="0020671F"/>
    <w:rsid w:val="002252BE"/>
    <w:rsid w:val="0022659F"/>
    <w:rsid w:val="002866B1"/>
    <w:rsid w:val="002B5D64"/>
    <w:rsid w:val="003267B2"/>
    <w:rsid w:val="00344049"/>
    <w:rsid w:val="00344DC6"/>
    <w:rsid w:val="00353615"/>
    <w:rsid w:val="003604A4"/>
    <w:rsid w:val="00373510"/>
    <w:rsid w:val="003740F0"/>
    <w:rsid w:val="00384CDC"/>
    <w:rsid w:val="003917B9"/>
    <w:rsid w:val="00392334"/>
    <w:rsid w:val="0039411E"/>
    <w:rsid w:val="003A7AFE"/>
    <w:rsid w:val="003D18B9"/>
    <w:rsid w:val="003E0F22"/>
    <w:rsid w:val="003E1CE7"/>
    <w:rsid w:val="003E23BF"/>
    <w:rsid w:val="003E4FAB"/>
    <w:rsid w:val="003E709F"/>
    <w:rsid w:val="003F625E"/>
    <w:rsid w:val="00405B54"/>
    <w:rsid w:val="0041760D"/>
    <w:rsid w:val="00434119"/>
    <w:rsid w:val="00467CE3"/>
    <w:rsid w:val="00467EE2"/>
    <w:rsid w:val="00484400"/>
    <w:rsid w:val="004B2B7D"/>
    <w:rsid w:val="004C0851"/>
    <w:rsid w:val="004C3F82"/>
    <w:rsid w:val="004D626D"/>
    <w:rsid w:val="004D6CFA"/>
    <w:rsid w:val="004F2069"/>
    <w:rsid w:val="004F21A9"/>
    <w:rsid w:val="00503FEE"/>
    <w:rsid w:val="00555074"/>
    <w:rsid w:val="005629FD"/>
    <w:rsid w:val="00574B50"/>
    <w:rsid w:val="00581BF9"/>
    <w:rsid w:val="00593555"/>
    <w:rsid w:val="005A3C98"/>
    <w:rsid w:val="005C6F1D"/>
    <w:rsid w:val="005E278A"/>
    <w:rsid w:val="005F650C"/>
    <w:rsid w:val="00617CFC"/>
    <w:rsid w:val="0065633C"/>
    <w:rsid w:val="006649BB"/>
    <w:rsid w:val="00676B6C"/>
    <w:rsid w:val="006822E8"/>
    <w:rsid w:val="00692FE9"/>
    <w:rsid w:val="006A239C"/>
    <w:rsid w:val="006A5ED1"/>
    <w:rsid w:val="006A6589"/>
    <w:rsid w:val="006B509C"/>
    <w:rsid w:val="006B6F2F"/>
    <w:rsid w:val="006D6718"/>
    <w:rsid w:val="006D7C35"/>
    <w:rsid w:val="006F73B1"/>
    <w:rsid w:val="00713C67"/>
    <w:rsid w:val="00721A24"/>
    <w:rsid w:val="0072374E"/>
    <w:rsid w:val="0073164A"/>
    <w:rsid w:val="0073650D"/>
    <w:rsid w:val="0074190A"/>
    <w:rsid w:val="0075058D"/>
    <w:rsid w:val="007C517C"/>
    <w:rsid w:val="007C53EF"/>
    <w:rsid w:val="007D2FBC"/>
    <w:rsid w:val="007E1ED0"/>
    <w:rsid w:val="007E3AB2"/>
    <w:rsid w:val="007E62C7"/>
    <w:rsid w:val="007F5BBB"/>
    <w:rsid w:val="00801153"/>
    <w:rsid w:val="00804A8A"/>
    <w:rsid w:val="008238B8"/>
    <w:rsid w:val="008811E7"/>
    <w:rsid w:val="0088388E"/>
    <w:rsid w:val="00895DD4"/>
    <w:rsid w:val="008A1C74"/>
    <w:rsid w:val="008B0AA7"/>
    <w:rsid w:val="008B57B7"/>
    <w:rsid w:val="008B73B9"/>
    <w:rsid w:val="008D0AA1"/>
    <w:rsid w:val="008E0FC9"/>
    <w:rsid w:val="008E2CA2"/>
    <w:rsid w:val="008E467F"/>
    <w:rsid w:val="008F2228"/>
    <w:rsid w:val="00930450"/>
    <w:rsid w:val="00931403"/>
    <w:rsid w:val="009423B7"/>
    <w:rsid w:val="009429EF"/>
    <w:rsid w:val="00947FCA"/>
    <w:rsid w:val="00957155"/>
    <w:rsid w:val="0096147D"/>
    <w:rsid w:val="00975CAA"/>
    <w:rsid w:val="009A2F54"/>
    <w:rsid w:val="009A4534"/>
    <w:rsid w:val="009B000A"/>
    <w:rsid w:val="009B0E5F"/>
    <w:rsid w:val="009B35A5"/>
    <w:rsid w:val="009C6739"/>
    <w:rsid w:val="00A1121C"/>
    <w:rsid w:val="00A2002D"/>
    <w:rsid w:val="00A33235"/>
    <w:rsid w:val="00A54CCC"/>
    <w:rsid w:val="00A7235B"/>
    <w:rsid w:val="00A76365"/>
    <w:rsid w:val="00A82B98"/>
    <w:rsid w:val="00A834D4"/>
    <w:rsid w:val="00A92A35"/>
    <w:rsid w:val="00AB698B"/>
    <w:rsid w:val="00AC44CF"/>
    <w:rsid w:val="00AF4248"/>
    <w:rsid w:val="00B06DC5"/>
    <w:rsid w:val="00B1192A"/>
    <w:rsid w:val="00B42178"/>
    <w:rsid w:val="00B44375"/>
    <w:rsid w:val="00B5146B"/>
    <w:rsid w:val="00B568CD"/>
    <w:rsid w:val="00B63856"/>
    <w:rsid w:val="00B63FBB"/>
    <w:rsid w:val="00B87A18"/>
    <w:rsid w:val="00B906E6"/>
    <w:rsid w:val="00B97815"/>
    <w:rsid w:val="00BA27CB"/>
    <w:rsid w:val="00BC4088"/>
    <w:rsid w:val="00BD0CF4"/>
    <w:rsid w:val="00BD6A08"/>
    <w:rsid w:val="00BE0521"/>
    <w:rsid w:val="00BF5842"/>
    <w:rsid w:val="00BF7B43"/>
    <w:rsid w:val="00C14D53"/>
    <w:rsid w:val="00C32087"/>
    <w:rsid w:val="00CA7FFD"/>
    <w:rsid w:val="00CC1503"/>
    <w:rsid w:val="00CD1020"/>
    <w:rsid w:val="00CE4340"/>
    <w:rsid w:val="00D05F76"/>
    <w:rsid w:val="00D06510"/>
    <w:rsid w:val="00D1224A"/>
    <w:rsid w:val="00D22955"/>
    <w:rsid w:val="00D40283"/>
    <w:rsid w:val="00D45184"/>
    <w:rsid w:val="00D45645"/>
    <w:rsid w:val="00D52F4F"/>
    <w:rsid w:val="00DB6F30"/>
    <w:rsid w:val="00DE7DB5"/>
    <w:rsid w:val="00E1548A"/>
    <w:rsid w:val="00E35420"/>
    <w:rsid w:val="00E44B5A"/>
    <w:rsid w:val="00E47CC7"/>
    <w:rsid w:val="00E54686"/>
    <w:rsid w:val="00E677BC"/>
    <w:rsid w:val="00E805A9"/>
    <w:rsid w:val="00E90006"/>
    <w:rsid w:val="00E93AE1"/>
    <w:rsid w:val="00E96691"/>
    <w:rsid w:val="00EB6C1E"/>
    <w:rsid w:val="00EF26EB"/>
    <w:rsid w:val="00F100BA"/>
    <w:rsid w:val="00F10F7B"/>
    <w:rsid w:val="00F2197D"/>
    <w:rsid w:val="00F3111C"/>
    <w:rsid w:val="00F32852"/>
    <w:rsid w:val="00F33B3A"/>
    <w:rsid w:val="00F56596"/>
    <w:rsid w:val="00FA2CDB"/>
    <w:rsid w:val="00FA54E3"/>
    <w:rsid w:val="00FB1970"/>
    <w:rsid w:val="00FB3886"/>
    <w:rsid w:val="00FB635D"/>
    <w:rsid w:val="00FB7017"/>
    <w:rsid w:val="00FC0341"/>
    <w:rsid w:val="00FD7F71"/>
    <w:rsid w:val="00FF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
    <w:name w:val="Style4"/>
    <w:basedOn w:val="DefaultParagraphFont"/>
    <w:uiPriority w:val="1"/>
    <w:rsid w:val="00C32087"/>
    <w:rPr>
      <w:rFonts w:ascii="Times New Roman" w:hAnsi="Times New Roman"/>
      <w:color w:val="auto"/>
      <w:sz w:val="20"/>
    </w:rPr>
  </w:style>
  <w:style w:type="character" w:styleId="PlaceholderText">
    <w:name w:val="Placeholder Text"/>
    <w:basedOn w:val="DefaultParagraphFont"/>
    <w:uiPriority w:val="99"/>
    <w:semiHidden/>
    <w:rsid w:val="00C32087"/>
    <w:rPr>
      <w:color w:val="808080"/>
    </w:rPr>
  </w:style>
  <w:style w:type="paragraph" w:customStyle="1" w:styleId="AC0427E119B44447805FA029D60162051">
    <w:name w:val="AC0427E119B44447805FA029D60162051"/>
    <w:rsid w:val="00C32087"/>
    <w:pPr>
      <w:spacing w:after="0"/>
      <w:ind w:left="720"/>
      <w:contextualSpacing/>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HLinks>
    <vt:vector baseType="variant" size="12">
      <vt:variant>
        <vt:i4>3604518</vt:i4>
      </vt:variant>
      <vt:variant>
        <vt:i4>3</vt:i4>
      </vt:variant>
      <vt:variant>
        <vt:i4>0</vt:i4>
      </vt:variant>
      <vt:variant>
        <vt:i4>5</vt:i4>
      </vt:variant>
      <vt:variant>
        <vt:lpwstr>http://www.mass.gov/dep/air/approvals/aqforms.htm</vt:lpwstr>
      </vt:variant>
      <vt:variant>
        <vt:lpwstr>report</vt:lpwstr>
      </vt:variant>
      <vt:variant>
        <vt:i4>3604518</vt:i4>
      </vt:variant>
      <vt:variant>
        <vt:i4>0</vt:i4>
      </vt:variant>
      <vt:variant>
        <vt:i4>0</vt:i4>
      </vt:variant>
      <vt:variant>
        <vt:i4>5</vt:i4>
      </vt:variant>
      <vt:variant>
        <vt:lpwstr>http://www.mass.gov/dep/air/approvals/aqforms.htm</vt:lpwstr>
      </vt:variant>
      <vt:variant>
        <vt:lpwstr>report</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lastPrinted>2024-06-05T20:58:13.0000000Z</lastPrinted>
  <dcterms:created xsi:type="dcterms:W3CDTF">2024-06-05T20:58:13.0000000Z</dcterms:created>
  <dcterms:modified xsi:type="dcterms:W3CDTF">2024-06-05T20:58:13.0000000Z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XDOCID">
    <vt:lpwstr>ACTIVE 699160815v1</vt:lpwstr>
  </op:property>
</op:Properties>
</file>